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5B69" w14:textId="714F8B88" w:rsidR="63F755EF" w:rsidRDefault="63F755EF" w:rsidP="63F755EF"/>
    <w:tbl>
      <w:tblPr>
        <w:tblW w:w="8854" w:type="dxa"/>
        <w:tblInd w:w="108" w:type="dxa"/>
        <w:tblLayout w:type="fixed"/>
        <w:tblLook w:val="04A0" w:firstRow="1" w:lastRow="0" w:firstColumn="1" w:lastColumn="0" w:noHBand="0" w:noVBand="1"/>
      </w:tblPr>
      <w:tblGrid>
        <w:gridCol w:w="10"/>
        <w:gridCol w:w="2265"/>
        <w:gridCol w:w="172"/>
        <w:gridCol w:w="6396"/>
        <w:gridCol w:w="11"/>
      </w:tblGrid>
      <w:tr w:rsidR="00AA06C8" w:rsidRPr="00975B07" w14:paraId="7095E1F0" w14:textId="77777777" w:rsidTr="3F0C7B5E">
        <w:trPr>
          <w:gridAfter w:val="1"/>
          <w:wAfter w:w="11" w:type="dxa"/>
        </w:trPr>
        <w:tc>
          <w:tcPr>
            <w:tcW w:w="2275" w:type="dxa"/>
            <w:gridSpan w:val="2"/>
            <w:shd w:val="clear" w:color="auto" w:fill="auto"/>
          </w:tcPr>
          <w:p w14:paraId="5FB152AC" w14:textId="77777777" w:rsidR="00AA06C8" w:rsidRPr="00975B07" w:rsidRDefault="60392221" w:rsidP="00AA06C8">
            <w:pPr>
              <w:rPr>
                <w:rStyle w:val="Firstpagetablebold"/>
              </w:rPr>
            </w:pPr>
            <w:r w:rsidRPr="3F0C7B5E">
              <w:rPr>
                <w:rStyle w:val="Firstpagetablebold"/>
              </w:rPr>
              <w:t>To:</w:t>
            </w:r>
          </w:p>
        </w:tc>
        <w:tc>
          <w:tcPr>
            <w:tcW w:w="6568" w:type="dxa"/>
            <w:gridSpan w:val="2"/>
            <w:shd w:val="clear" w:color="auto" w:fill="auto"/>
          </w:tcPr>
          <w:p w14:paraId="30BD7DF5" w14:textId="77777777" w:rsidR="00AA06C8" w:rsidRPr="00806C20" w:rsidRDefault="60392221" w:rsidP="00AA06C8">
            <w:r>
              <w:t>Cabinet</w:t>
            </w:r>
          </w:p>
        </w:tc>
      </w:tr>
      <w:tr w:rsidR="00AA06C8" w:rsidRPr="00975B07" w14:paraId="253ECC02" w14:textId="77777777" w:rsidTr="3F0C7B5E">
        <w:trPr>
          <w:gridAfter w:val="1"/>
          <w:wAfter w:w="11" w:type="dxa"/>
        </w:trPr>
        <w:tc>
          <w:tcPr>
            <w:tcW w:w="2275" w:type="dxa"/>
            <w:gridSpan w:val="2"/>
            <w:shd w:val="clear" w:color="auto" w:fill="auto"/>
          </w:tcPr>
          <w:p w14:paraId="4109AE65" w14:textId="77777777" w:rsidR="00AA06C8" w:rsidRPr="00975B07" w:rsidRDefault="60392221" w:rsidP="00AA06C8">
            <w:pPr>
              <w:rPr>
                <w:rStyle w:val="Firstpagetablebold"/>
              </w:rPr>
            </w:pPr>
            <w:r w:rsidRPr="3F0C7B5E">
              <w:rPr>
                <w:rStyle w:val="Firstpagetablebold"/>
              </w:rPr>
              <w:t>Date:</w:t>
            </w:r>
          </w:p>
        </w:tc>
        <w:tc>
          <w:tcPr>
            <w:tcW w:w="6568" w:type="dxa"/>
            <w:gridSpan w:val="2"/>
            <w:shd w:val="clear" w:color="auto" w:fill="auto"/>
          </w:tcPr>
          <w:p w14:paraId="2B743C6C" w14:textId="2A6B3704" w:rsidR="00AA06C8" w:rsidRPr="00806C20" w:rsidRDefault="4C0DE96F" w:rsidP="00881E58">
            <w:r>
              <w:t xml:space="preserve">13 </w:t>
            </w:r>
            <w:r w:rsidR="0C42E6AD">
              <w:t>September 2023</w:t>
            </w:r>
            <w:r>
              <w:t xml:space="preserve"> </w:t>
            </w:r>
          </w:p>
        </w:tc>
      </w:tr>
      <w:tr w:rsidR="00AA06C8" w:rsidRPr="00975B07" w14:paraId="1A755470" w14:textId="77777777" w:rsidTr="3F0C7B5E">
        <w:trPr>
          <w:gridAfter w:val="1"/>
          <w:wAfter w:w="11" w:type="dxa"/>
        </w:trPr>
        <w:tc>
          <w:tcPr>
            <w:tcW w:w="2275" w:type="dxa"/>
            <w:gridSpan w:val="2"/>
            <w:shd w:val="clear" w:color="auto" w:fill="auto"/>
          </w:tcPr>
          <w:p w14:paraId="75253B38" w14:textId="77777777" w:rsidR="00AA06C8" w:rsidRPr="00975B07" w:rsidRDefault="60392221" w:rsidP="00AA06C8">
            <w:pPr>
              <w:rPr>
                <w:rStyle w:val="Firstpagetablebold"/>
              </w:rPr>
            </w:pPr>
            <w:r w:rsidRPr="3F0C7B5E">
              <w:rPr>
                <w:rStyle w:val="Firstpagetablebold"/>
              </w:rPr>
              <w:t>Report of:</w:t>
            </w:r>
          </w:p>
        </w:tc>
        <w:tc>
          <w:tcPr>
            <w:tcW w:w="6568" w:type="dxa"/>
            <w:gridSpan w:val="2"/>
            <w:shd w:val="clear" w:color="auto" w:fill="auto"/>
          </w:tcPr>
          <w:p w14:paraId="305DD306" w14:textId="3A751328" w:rsidR="00AA06C8" w:rsidRPr="00806C20" w:rsidRDefault="0068119E" w:rsidP="00AA06C8">
            <w:r>
              <w:t xml:space="preserve">Executive </w:t>
            </w:r>
            <w:r w:rsidR="4C0DE96F">
              <w:t xml:space="preserve">Director </w:t>
            </w:r>
            <w:r>
              <w:t>(</w:t>
            </w:r>
            <w:r w:rsidR="4C0DE96F">
              <w:t>Development</w:t>
            </w:r>
            <w:r>
              <w:t>)</w:t>
            </w:r>
          </w:p>
        </w:tc>
      </w:tr>
      <w:tr w:rsidR="00AA06C8" w:rsidRPr="00975B07" w14:paraId="0625746A" w14:textId="77777777" w:rsidTr="3F0C7B5E">
        <w:trPr>
          <w:gridAfter w:val="1"/>
          <w:wAfter w:w="11" w:type="dxa"/>
        </w:trPr>
        <w:tc>
          <w:tcPr>
            <w:tcW w:w="2275" w:type="dxa"/>
            <w:gridSpan w:val="2"/>
            <w:shd w:val="clear" w:color="auto" w:fill="auto"/>
          </w:tcPr>
          <w:p w14:paraId="22351C90" w14:textId="77777777" w:rsidR="00AA06C8" w:rsidRPr="00975B07" w:rsidRDefault="60392221" w:rsidP="00AA06C8">
            <w:pPr>
              <w:rPr>
                <w:rStyle w:val="Firstpagetablebold"/>
              </w:rPr>
            </w:pPr>
            <w:r w:rsidRPr="3F0C7B5E">
              <w:rPr>
                <w:rStyle w:val="Firstpagetablebold"/>
              </w:rPr>
              <w:t xml:space="preserve">Title of Report: </w:t>
            </w:r>
          </w:p>
        </w:tc>
        <w:tc>
          <w:tcPr>
            <w:tcW w:w="6568" w:type="dxa"/>
            <w:gridSpan w:val="2"/>
            <w:shd w:val="clear" w:color="auto" w:fill="auto"/>
          </w:tcPr>
          <w:p w14:paraId="6A958BEA" w14:textId="63BE8C25" w:rsidR="00AA06C8" w:rsidRDefault="4C0DE96F" w:rsidP="0019331E">
            <w:pPr>
              <w:spacing w:after="240"/>
            </w:pPr>
            <w:r>
              <w:t xml:space="preserve">Park and Ride </w:t>
            </w:r>
            <w:r w:rsidR="0068119E">
              <w:t>C</w:t>
            </w:r>
            <w:r w:rsidR="05E6FF02">
              <w:t xml:space="preserve">ombined </w:t>
            </w:r>
            <w:r w:rsidR="0068119E">
              <w:t>P</w:t>
            </w:r>
            <w:r w:rsidR="05E6FF02">
              <w:t>arking-and-</w:t>
            </w:r>
            <w:r w:rsidR="0068119E">
              <w:t>B</w:t>
            </w:r>
            <w:r w:rsidR="05E6FF02">
              <w:t xml:space="preserve">us </w:t>
            </w:r>
            <w:r w:rsidR="0068119E">
              <w:t>T</w:t>
            </w:r>
            <w:r w:rsidR="05E6FF02">
              <w:t>icket</w:t>
            </w:r>
            <w:r w:rsidR="0C42E6AD">
              <w:t xml:space="preserve"> </w:t>
            </w:r>
            <w:r w:rsidR="0068119E">
              <w:t>C</w:t>
            </w:r>
            <w:r>
              <w:t>harges</w:t>
            </w:r>
          </w:p>
        </w:tc>
      </w:tr>
      <w:tr w:rsidR="00D5547E" w14:paraId="6A7D016D" w14:textId="77777777" w:rsidTr="3F0C7B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092FD6" w14:textId="77777777" w:rsidR="00D5547E" w:rsidRDefault="50910A14" w:rsidP="00745BF0">
            <w:pPr>
              <w:jc w:val="center"/>
              <w:rPr>
                <w:rStyle w:val="Firstpagetablebold"/>
              </w:rPr>
            </w:pPr>
            <w:r w:rsidRPr="3F0C7B5E">
              <w:rPr>
                <w:rStyle w:val="Firstpagetablebold"/>
              </w:rPr>
              <w:t>Summary and r</w:t>
            </w:r>
            <w:r w:rsidR="46588A9F" w:rsidRPr="3F0C7B5E">
              <w:rPr>
                <w:rStyle w:val="Firstpagetablebold"/>
              </w:rPr>
              <w:t>ecommendations</w:t>
            </w:r>
          </w:p>
        </w:tc>
      </w:tr>
      <w:tr w:rsidR="00D5547E" w14:paraId="5FA58437" w14:textId="77777777" w:rsidTr="3F0C7B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7" w:type="dxa"/>
            <w:gridSpan w:val="2"/>
            <w:tcBorders>
              <w:top w:val="single" w:sz="8" w:space="0" w:color="000000" w:themeColor="text1"/>
              <w:left w:val="single" w:sz="8" w:space="0" w:color="000000" w:themeColor="text1"/>
              <w:bottom w:val="nil"/>
              <w:right w:val="nil"/>
            </w:tcBorders>
            <w:hideMark/>
          </w:tcPr>
          <w:p w14:paraId="58ACA6E3" w14:textId="77777777" w:rsidR="00D5547E" w:rsidRDefault="46588A9F">
            <w:pPr>
              <w:rPr>
                <w:rStyle w:val="Firstpagetablebold"/>
              </w:rPr>
            </w:pPr>
            <w:r w:rsidRPr="3F0C7B5E">
              <w:rPr>
                <w:rStyle w:val="Firstpagetablebold"/>
              </w:rPr>
              <w:t>Purpose of report:</w:t>
            </w:r>
          </w:p>
        </w:tc>
        <w:tc>
          <w:tcPr>
            <w:tcW w:w="6407" w:type="dxa"/>
            <w:gridSpan w:val="2"/>
            <w:tcBorders>
              <w:top w:val="single" w:sz="8" w:space="0" w:color="000000" w:themeColor="text1"/>
              <w:left w:val="nil"/>
              <w:bottom w:val="nil"/>
              <w:right w:val="single" w:sz="8" w:space="0" w:color="000000" w:themeColor="text1"/>
            </w:tcBorders>
            <w:hideMark/>
          </w:tcPr>
          <w:p w14:paraId="728B28B4" w14:textId="361ED924" w:rsidR="00D5547E" w:rsidRPr="001356F1" w:rsidRDefault="4C0DE96F" w:rsidP="0019331E">
            <w:r>
              <w:t xml:space="preserve">To </w:t>
            </w:r>
            <w:r w:rsidR="0C42E6AD">
              <w:t xml:space="preserve">seek approval for permanent </w:t>
            </w:r>
            <w:r>
              <w:t>changes to the</w:t>
            </w:r>
            <w:r w:rsidR="05E6FF02">
              <w:t xml:space="preserve"> combined parking-and-bus</w:t>
            </w:r>
            <w:r>
              <w:t xml:space="preserve"> </w:t>
            </w:r>
            <w:r w:rsidR="05E6FF02">
              <w:t xml:space="preserve">ticket charges </w:t>
            </w:r>
            <w:r>
              <w:t xml:space="preserve">at Oxford City Council Park and Ride sites </w:t>
            </w:r>
            <w:r w:rsidR="0C42E6AD">
              <w:t xml:space="preserve">after the completion of </w:t>
            </w:r>
            <w:r>
              <w:t xml:space="preserve">a </w:t>
            </w:r>
            <w:r w:rsidR="0C42E6AD">
              <w:t xml:space="preserve">twelve-month </w:t>
            </w:r>
            <w:r>
              <w:t>trial period</w:t>
            </w:r>
            <w:r w:rsidR="0C42E6AD">
              <w:t>.</w:t>
            </w:r>
          </w:p>
        </w:tc>
      </w:tr>
      <w:tr w:rsidR="00D5547E" w14:paraId="41EB4E99" w14:textId="77777777" w:rsidTr="3F0C7B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7" w:type="dxa"/>
            <w:gridSpan w:val="2"/>
            <w:tcBorders>
              <w:top w:val="nil"/>
              <w:left w:val="single" w:sz="8" w:space="0" w:color="000000" w:themeColor="text1"/>
              <w:bottom w:val="nil"/>
              <w:right w:val="nil"/>
            </w:tcBorders>
            <w:hideMark/>
          </w:tcPr>
          <w:p w14:paraId="6BCE1183" w14:textId="77777777" w:rsidR="00D5547E" w:rsidRDefault="46588A9F">
            <w:pPr>
              <w:rPr>
                <w:rStyle w:val="Firstpagetablebold"/>
              </w:rPr>
            </w:pPr>
            <w:r w:rsidRPr="3F0C7B5E">
              <w:rPr>
                <w:rStyle w:val="Firstpagetablebold"/>
              </w:rPr>
              <w:t>Key decision:</w:t>
            </w:r>
          </w:p>
        </w:tc>
        <w:tc>
          <w:tcPr>
            <w:tcW w:w="6407" w:type="dxa"/>
            <w:gridSpan w:val="2"/>
            <w:tcBorders>
              <w:top w:val="nil"/>
              <w:left w:val="nil"/>
              <w:bottom w:val="nil"/>
              <w:right w:val="single" w:sz="8" w:space="0" w:color="000000" w:themeColor="text1"/>
            </w:tcBorders>
            <w:hideMark/>
          </w:tcPr>
          <w:p w14:paraId="5B82BF21" w14:textId="089AF272" w:rsidR="00D5547E" w:rsidRPr="00F1270B" w:rsidRDefault="2B733787" w:rsidP="00AA06C8">
            <w:pPr>
              <w:rPr>
                <w:color w:val="auto"/>
              </w:rPr>
            </w:pPr>
            <w:r w:rsidRPr="3F0C7B5E">
              <w:rPr>
                <w:color w:val="auto"/>
              </w:rPr>
              <w:t>Yes</w:t>
            </w:r>
          </w:p>
        </w:tc>
      </w:tr>
      <w:tr w:rsidR="00D5547E" w14:paraId="5B7B9BCA" w14:textId="77777777" w:rsidTr="3F0C7B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7" w:type="dxa"/>
            <w:gridSpan w:val="2"/>
            <w:tcBorders>
              <w:top w:val="nil"/>
              <w:left w:val="single" w:sz="8" w:space="0" w:color="000000" w:themeColor="text1"/>
              <w:bottom w:val="nil"/>
              <w:right w:val="nil"/>
            </w:tcBorders>
            <w:hideMark/>
          </w:tcPr>
          <w:p w14:paraId="7B3315DA" w14:textId="77777777" w:rsidR="00D5547E" w:rsidRDefault="34F9CF4E">
            <w:pPr>
              <w:rPr>
                <w:rStyle w:val="Firstpagetablebold"/>
              </w:rPr>
            </w:pPr>
            <w:r w:rsidRPr="3F0C7B5E">
              <w:rPr>
                <w:rStyle w:val="Firstpagetablebold"/>
              </w:rPr>
              <w:t>Cabinet</w:t>
            </w:r>
            <w:r w:rsidR="46588A9F" w:rsidRPr="3F0C7B5E">
              <w:rPr>
                <w:rStyle w:val="Firstpagetablebold"/>
              </w:rPr>
              <w:t xml:space="preserve"> Member:</w:t>
            </w:r>
          </w:p>
        </w:tc>
        <w:tc>
          <w:tcPr>
            <w:tcW w:w="6407" w:type="dxa"/>
            <w:gridSpan w:val="2"/>
            <w:tcBorders>
              <w:top w:val="nil"/>
              <w:left w:val="nil"/>
              <w:bottom w:val="nil"/>
              <w:right w:val="single" w:sz="8" w:space="0" w:color="000000" w:themeColor="text1"/>
            </w:tcBorders>
            <w:hideMark/>
          </w:tcPr>
          <w:p w14:paraId="71DA36F7" w14:textId="10E972C3" w:rsidR="00D5547E" w:rsidRPr="00AA06C8" w:rsidRDefault="4C0DE96F" w:rsidP="00881E58">
            <w:pPr>
              <w:rPr>
                <w:rFonts w:cs="Arial"/>
              </w:rPr>
            </w:pPr>
            <w:r w:rsidRPr="3F0C7B5E">
              <w:rPr>
                <w:rFonts w:cs="Arial"/>
                <w:color w:val="auto"/>
              </w:rPr>
              <w:t xml:space="preserve">Cllr </w:t>
            </w:r>
            <w:r w:rsidR="068FCEE8" w:rsidRPr="3F0C7B5E">
              <w:rPr>
                <w:rFonts w:cs="Arial"/>
                <w:color w:val="auto"/>
              </w:rPr>
              <w:t xml:space="preserve">Louise Upton </w:t>
            </w:r>
            <w:r w:rsidR="12FD1D79" w:rsidRPr="3F0C7B5E">
              <w:rPr>
                <w:rFonts w:cs="Arial"/>
                <w:color w:val="auto"/>
              </w:rPr>
              <w:t>(</w:t>
            </w:r>
            <w:r w:rsidR="068FCEE8" w:rsidRPr="3F0C7B5E">
              <w:rPr>
                <w:rFonts w:cs="Arial"/>
                <w:color w:val="auto"/>
              </w:rPr>
              <w:t xml:space="preserve">Cabinet Member for </w:t>
            </w:r>
            <w:r w:rsidR="0C42E6AD" w:rsidRPr="3F0C7B5E">
              <w:rPr>
                <w:rFonts w:cs="Arial"/>
                <w:color w:val="auto"/>
              </w:rPr>
              <w:t>Planning and Healthier Communities</w:t>
            </w:r>
            <w:r w:rsidR="12FD1D79" w:rsidRPr="3F0C7B5E">
              <w:rPr>
                <w:rFonts w:cs="Arial"/>
                <w:color w:val="auto"/>
              </w:rPr>
              <w:t>)</w:t>
            </w:r>
            <w:r w:rsidR="50326ECE" w:rsidRPr="3F0C7B5E">
              <w:rPr>
                <w:rFonts w:cs="Arial"/>
                <w:color w:val="auto"/>
              </w:rPr>
              <w:t xml:space="preserve"> and </w:t>
            </w:r>
            <w:r w:rsidR="12FD1D79" w:rsidRPr="3F0C7B5E">
              <w:rPr>
                <w:rFonts w:cs="Arial"/>
                <w:color w:val="auto"/>
              </w:rPr>
              <w:t>Cllr Ed Turner (Deputy Leader and Cabinet Member for Finance and Asset Management)</w:t>
            </w:r>
          </w:p>
        </w:tc>
      </w:tr>
      <w:tr w:rsidR="0080749A" w14:paraId="41EBD688" w14:textId="77777777" w:rsidTr="3F0C7B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7" w:type="dxa"/>
            <w:gridSpan w:val="2"/>
            <w:tcBorders>
              <w:top w:val="nil"/>
              <w:left w:val="single" w:sz="8" w:space="0" w:color="000000" w:themeColor="text1"/>
              <w:bottom w:val="nil"/>
              <w:right w:val="nil"/>
            </w:tcBorders>
          </w:tcPr>
          <w:p w14:paraId="30146A2D" w14:textId="77777777" w:rsidR="0080749A" w:rsidRDefault="4E06FAE8">
            <w:pPr>
              <w:rPr>
                <w:rStyle w:val="Firstpagetablebold"/>
              </w:rPr>
            </w:pPr>
            <w:r w:rsidRPr="3F0C7B5E">
              <w:rPr>
                <w:rStyle w:val="Firstpagetablebold"/>
              </w:rPr>
              <w:t>Corporate Priority:</w:t>
            </w:r>
          </w:p>
        </w:tc>
        <w:tc>
          <w:tcPr>
            <w:tcW w:w="6407" w:type="dxa"/>
            <w:gridSpan w:val="2"/>
            <w:tcBorders>
              <w:top w:val="nil"/>
              <w:left w:val="nil"/>
              <w:bottom w:val="nil"/>
              <w:right w:val="single" w:sz="8" w:space="0" w:color="000000" w:themeColor="text1"/>
            </w:tcBorders>
          </w:tcPr>
          <w:p w14:paraId="1A3A195D" w14:textId="77777777" w:rsidR="0080749A" w:rsidRPr="001356F1" w:rsidRDefault="60392221" w:rsidP="3F0C7B5E">
            <w:pPr>
              <w:rPr>
                <w:color w:val="auto"/>
              </w:rPr>
            </w:pPr>
            <w:r w:rsidRPr="3F0C7B5E">
              <w:rPr>
                <w:color w:val="auto"/>
              </w:rPr>
              <w:t>All Council strategy priorities</w:t>
            </w:r>
          </w:p>
        </w:tc>
      </w:tr>
      <w:tr w:rsidR="00D5547E" w14:paraId="7F63BED3" w14:textId="77777777" w:rsidTr="3F0C7B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7" w:type="dxa"/>
            <w:gridSpan w:val="2"/>
            <w:tcBorders>
              <w:top w:val="nil"/>
              <w:left w:val="single" w:sz="8" w:space="0" w:color="000000" w:themeColor="text1"/>
              <w:bottom w:val="single" w:sz="4" w:space="0" w:color="auto"/>
              <w:right w:val="nil"/>
            </w:tcBorders>
            <w:hideMark/>
          </w:tcPr>
          <w:p w14:paraId="0F91FFC4" w14:textId="77777777" w:rsidR="00D5547E" w:rsidRDefault="46588A9F">
            <w:pPr>
              <w:rPr>
                <w:rStyle w:val="Firstpagetablebold"/>
              </w:rPr>
            </w:pPr>
            <w:r w:rsidRPr="3F0C7B5E">
              <w:rPr>
                <w:rStyle w:val="Firstpagetablebold"/>
              </w:rPr>
              <w:t>Policy Framework:</w:t>
            </w:r>
          </w:p>
        </w:tc>
        <w:tc>
          <w:tcPr>
            <w:tcW w:w="6407" w:type="dxa"/>
            <w:gridSpan w:val="2"/>
            <w:tcBorders>
              <w:top w:val="nil"/>
              <w:left w:val="nil"/>
              <w:bottom w:val="single" w:sz="4" w:space="0" w:color="auto"/>
              <w:right w:val="single" w:sz="8" w:space="0" w:color="000000" w:themeColor="text1"/>
            </w:tcBorders>
            <w:hideMark/>
          </w:tcPr>
          <w:p w14:paraId="6F0DCC4E" w14:textId="77777777" w:rsidR="00D5547E" w:rsidRPr="001356F1" w:rsidRDefault="60392221" w:rsidP="3F0C7B5E">
            <w:pPr>
              <w:rPr>
                <w:color w:val="auto"/>
              </w:rPr>
            </w:pPr>
            <w:r w:rsidRPr="3F0C7B5E">
              <w:rPr>
                <w:color w:val="auto"/>
              </w:rPr>
              <w:t>Council Strategy 2020-2024</w:t>
            </w:r>
          </w:p>
        </w:tc>
      </w:tr>
    </w:tbl>
    <w:p w14:paraId="309C9379" w14:textId="77777777" w:rsidR="00CE544A" w:rsidRDefault="00CE544A" w:rsidP="004A6D2F"/>
    <w:tbl>
      <w:tblPr>
        <w:tblW w:w="88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05"/>
        <w:gridCol w:w="8140"/>
      </w:tblGrid>
      <w:tr w:rsidR="0097170F" w:rsidRPr="00975B07" w14:paraId="7D1F950E" w14:textId="77777777" w:rsidTr="0068119E">
        <w:trPr>
          <w:trHeight w:val="413"/>
        </w:trPr>
        <w:tc>
          <w:tcPr>
            <w:tcW w:w="8845" w:type="dxa"/>
            <w:gridSpan w:val="2"/>
            <w:tcBorders>
              <w:bottom w:val="single" w:sz="8" w:space="0" w:color="000000" w:themeColor="text1"/>
            </w:tcBorders>
          </w:tcPr>
          <w:p w14:paraId="01D25550" w14:textId="4A3679C8" w:rsidR="0097170F" w:rsidRPr="00975B07" w:rsidRDefault="3220CA90" w:rsidP="63F755EF">
            <w:pPr>
              <w:rPr>
                <w:rStyle w:val="Firstpagetablebold"/>
                <w:b w:val="0"/>
              </w:rPr>
            </w:pPr>
            <w:r w:rsidRPr="3F0C7B5E">
              <w:rPr>
                <w:rStyle w:val="Firstpagetablebold"/>
              </w:rPr>
              <w:t>Recommendation:</w:t>
            </w:r>
            <w:r w:rsidR="14A2D3D2" w:rsidRPr="3F0C7B5E">
              <w:rPr>
                <w:rStyle w:val="Firstpagetablebold"/>
              </w:rPr>
              <w:t xml:space="preserve"> </w:t>
            </w:r>
            <w:r w:rsidRPr="3F0C7B5E">
              <w:rPr>
                <w:rStyle w:val="Firstpagetablebold"/>
                <w:b w:val="0"/>
              </w:rPr>
              <w:t>That Cabinet resolves to:</w:t>
            </w:r>
          </w:p>
        </w:tc>
      </w:tr>
      <w:tr w:rsidR="0097170F" w:rsidRPr="00975B07" w14:paraId="56E12D23" w14:textId="77777777" w:rsidTr="0068119E">
        <w:trPr>
          <w:trHeight w:val="283"/>
        </w:trPr>
        <w:tc>
          <w:tcPr>
            <w:tcW w:w="705" w:type="dxa"/>
            <w:tcBorders>
              <w:top w:val="single" w:sz="8" w:space="0" w:color="000000" w:themeColor="text1"/>
              <w:left w:val="single" w:sz="8" w:space="0" w:color="000000" w:themeColor="text1"/>
              <w:bottom w:val="single" w:sz="8" w:space="0" w:color="000000" w:themeColor="text1"/>
              <w:right w:val="nil"/>
            </w:tcBorders>
          </w:tcPr>
          <w:p w14:paraId="3FA646BB" w14:textId="3190ADF1" w:rsidR="00906ED2" w:rsidRPr="00CF085C" w:rsidRDefault="604492E6" w:rsidP="4E3F9228">
            <w:pPr>
              <w:spacing w:after="160"/>
            </w:pPr>
            <w:r w:rsidRPr="3F0C7B5E">
              <w:rPr>
                <w:rFonts w:eastAsia="Arial" w:cs="Arial"/>
                <w:sz w:val="22"/>
                <w:szCs w:val="22"/>
              </w:rPr>
              <w:t>1</w:t>
            </w:r>
            <w:r w:rsidR="6EC75036" w:rsidRPr="3F0C7B5E">
              <w:rPr>
                <w:rFonts w:eastAsia="Arial" w:cs="Arial"/>
                <w:sz w:val="22"/>
                <w:szCs w:val="22"/>
              </w:rPr>
              <w:t>.</w:t>
            </w:r>
            <w:r w:rsidR="0EEB5C6B">
              <w:br/>
            </w:r>
            <w:r w:rsidR="0EEB5C6B">
              <w:br/>
            </w:r>
          </w:p>
        </w:tc>
        <w:tc>
          <w:tcPr>
            <w:tcW w:w="8140"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7CB2151E" w14:textId="50F0C7FE" w:rsidR="00651754" w:rsidRPr="00CF085C" w:rsidRDefault="579456E2" w:rsidP="3F0C7B5E">
            <w:pPr>
              <w:spacing w:line="259" w:lineRule="auto"/>
              <w:rPr>
                <w:rFonts w:cs="Arial"/>
                <w:color w:val="auto"/>
              </w:rPr>
            </w:pPr>
            <w:bookmarkStart w:id="0" w:name="_Hlk144284358"/>
            <w:r w:rsidRPr="3F0C7B5E">
              <w:rPr>
                <w:rFonts w:cs="Arial"/>
                <w:b/>
                <w:bCs/>
                <w:color w:val="auto"/>
              </w:rPr>
              <w:t>Recommend to Council</w:t>
            </w:r>
            <w:r w:rsidRPr="3F0C7B5E">
              <w:rPr>
                <w:rFonts w:cs="Arial"/>
                <w:color w:val="auto"/>
              </w:rPr>
              <w:t xml:space="preserve"> the continued use of combined parking and bus tickets at Oxford City Council Park and Ride sites</w:t>
            </w:r>
            <w:r w:rsidR="2B450241" w:rsidRPr="3F0C7B5E">
              <w:rPr>
                <w:rFonts w:cs="Arial"/>
                <w:color w:val="auto"/>
              </w:rPr>
              <w:t xml:space="preserve"> </w:t>
            </w:r>
            <w:r w:rsidR="4B4C0696" w:rsidRPr="3F0C7B5E">
              <w:rPr>
                <w:rFonts w:cs="Arial"/>
                <w:color w:val="auto"/>
              </w:rPr>
              <w:t xml:space="preserve">at the current prices </w:t>
            </w:r>
            <w:r w:rsidR="2B450241" w:rsidRPr="3F0C7B5E">
              <w:rPr>
                <w:rFonts w:cs="Arial"/>
                <w:color w:val="auto"/>
              </w:rPr>
              <w:t>until April 2024</w:t>
            </w:r>
            <w:r w:rsidR="4CC92F01" w:rsidRPr="3F0C7B5E">
              <w:rPr>
                <w:rFonts w:cs="Arial"/>
                <w:color w:val="auto"/>
              </w:rPr>
              <w:t>, as per Option 1 in this report.</w:t>
            </w:r>
            <w:bookmarkEnd w:id="0"/>
            <w:r w:rsidR="2B450241" w:rsidRPr="3F0C7B5E">
              <w:rPr>
                <w:rFonts w:cs="Arial"/>
                <w:color w:val="auto"/>
              </w:rPr>
              <w:t xml:space="preserve"> </w:t>
            </w:r>
          </w:p>
        </w:tc>
      </w:tr>
    </w:tbl>
    <w:p w14:paraId="1B95A6DF"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848"/>
      </w:tblGrid>
      <w:tr w:rsidR="00966D42" w:rsidRPr="00975B07" w14:paraId="51F7425B" w14:textId="77777777" w:rsidTr="3F0C7B5E">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2F7062" w14:textId="77777777" w:rsidR="00966D42" w:rsidRPr="00975B07" w:rsidRDefault="5458AC7C" w:rsidP="3F0C7B5E">
            <w:pPr>
              <w:jc w:val="center"/>
              <w:rPr>
                <w:rStyle w:val="Firstpagetablebold"/>
              </w:rPr>
            </w:pPr>
            <w:r w:rsidRPr="3F0C7B5E">
              <w:rPr>
                <w:rStyle w:val="Firstpagetablebold"/>
              </w:rPr>
              <w:t>Appendices</w:t>
            </w:r>
          </w:p>
        </w:tc>
      </w:tr>
      <w:tr w:rsidR="00E50B8B" w:rsidRPr="00975B07" w14:paraId="11F1D87C" w14:textId="77777777" w:rsidTr="00A9054C">
        <w:tc>
          <w:tcPr>
            <w:tcW w:w="1996" w:type="dxa"/>
            <w:tcBorders>
              <w:top w:val="nil"/>
              <w:left w:val="single" w:sz="8" w:space="0" w:color="000000" w:themeColor="text1"/>
              <w:bottom w:val="nil"/>
              <w:right w:val="nil"/>
            </w:tcBorders>
            <w:shd w:val="clear" w:color="auto" w:fill="auto"/>
          </w:tcPr>
          <w:p w14:paraId="5D39F208" w14:textId="203132E6" w:rsidR="00E50B8B" w:rsidRPr="00975B07" w:rsidRDefault="388A5C44" w:rsidP="63F755EF">
            <w:pPr>
              <w:rPr>
                <w:color w:val="000000" w:themeColor="text1"/>
              </w:rPr>
            </w:pPr>
            <w:r w:rsidRPr="3F0C7B5E">
              <w:rPr>
                <w:color w:val="000000" w:themeColor="text1"/>
              </w:rPr>
              <w:t>A</w:t>
            </w:r>
          </w:p>
        </w:tc>
        <w:tc>
          <w:tcPr>
            <w:tcW w:w="6848" w:type="dxa"/>
            <w:tcBorders>
              <w:top w:val="nil"/>
              <w:left w:val="nil"/>
              <w:bottom w:val="nil"/>
              <w:right w:val="single" w:sz="8" w:space="0" w:color="000000" w:themeColor="text1"/>
            </w:tcBorders>
          </w:tcPr>
          <w:p w14:paraId="1307165E" w14:textId="3F9EA254" w:rsidR="00E50B8B" w:rsidRPr="00E50B8B" w:rsidRDefault="00A9054C" w:rsidP="3F0C7B5E">
            <w:pPr>
              <w:rPr>
                <w:u w:val="single"/>
              </w:rPr>
            </w:pPr>
            <w:r>
              <w:t>Park and Ride charges m</w:t>
            </w:r>
            <w:r w:rsidR="1ABE7975" w:rsidRPr="0068119E">
              <w:t>onitoring framework</w:t>
            </w:r>
            <w:r w:rsidR="1ABE7975">
              <w:t xml:space="preserve">, including all information from the City Council, as well as the information from Oxford Bus Company, Stagecoach and Oxfordshire County Council which is </w:t>
            </w:r>
            <w:r w:rsidR="1ABE7975" w:rsidRPr="00A9054C">
              <w:t>not exempt</w:t>
            </w:r>
          </w:p>
        </w:tc>
      </w:tr>
      <w:tr w:rsidR="0068119E" w:rsidRPr="00975B07" w14:paraId="76D21739" w14:textId="77777777" w:rsidTr="00A9054C">
        <w:tc>
          <w:tcPr>
            <w:tcW w:w="1996" w:type="dxa"/>
            <w:tcBorders>
              <w:top w:val="nil"/>
              <w:left w:val="single" w:sz="8" w:space="0" w:color="000000" w:themeColor="text1"/>
              <w:bottom w:val="nil"/>
              <w:right w:val="nil"/>
            </w:tcBorders>
            <w:shd w:val="clear" w:color="auto" w:fill="auto"/>
          </w:tcPr>
          <w:p w14:paraId="34049616" w14:textId="020D2FC6" w:rsidR="0068119E" w:rsidRPr="3F0C7B5E" w:rsidRDefault="0068119E" w:rsidP="63F755EF">
            <w:pPr>
              <w:rPr>
                <w:color w:val="000000" w:themeColor="text1"/>
              </w:rPr>
            </w:pPr>
            <w:r w:rsidRPr="3F0C7B5E">
              <w:rPr>
                <w:color w:val="000000" w:themeColor="text1"/>
              </w:rPr>
              <w:t>B</w:t>
            </w:r>
            <w:r w:rsidR="00A9054C">
              <w:rPr>
                <w:color w:val="000000" w:themeColor="text1"/>
              </w:rPr>
              <w:t xml:space="preserve"> (Confidential)</w:t>
            </w:r>
          </w:p>
        </w:tc>
        <w:tc>
          <w:tcPr>
            <w:tcW w:w="6848" w:type="dxa"/>
            <w:tcBorders>
              <w:top w:val="nil"/>
              <w:left w:val="nil"/>
              <w:bottom w:val="nil"/>
              <w:right w:val="single" w:sz="8" w:space="0" w:color="000000" w:themeColor="text1"/>
            </w:tcBorders>
          </w:tcPr>
          <w:p w14:paraId="2EFE8F74" w14:textId="56556C0A" w:rsidR="0068119E" w:rsidRDefault="0068119E" w:rsidP="00E50B8B">
            <w:r w:rsidRPr="0068119E">
              <w:t>Exempt appendix</w:t>
            </w:r>
            <w:r>
              <w:t xml:space="preserve"> containing commercially sensitive information from Oxford Bus Company, Stagecoach and Oxfordshire County Council</w:t>
            </w:r>
          </w:p>
        </w:tc>
      </w:tr>
      <w:tr w:rsidR="0068119E" w:rsidRPr="00975B07" w14:paraId="3E139B02" w14:textId="77777777" w:rsidTr="00A9054C">
        <w:tc>
          <w:tcPr>
            <w:tcW w:w="1996" w:type="dxa"/>
            <w:tcBorders>
              <w:top w:val="nil"/>
              <w:left w:val="single" w:sz="8" w:space="0" w:color="000000" w:themeColor="text1"/>
              <w:bottom w:val="nil"/>
              <w:right w:val="nil"/>
            </w:tcBorders>
            <w:shd w:val="clear" w:color="auto" w:fill="auto"/>
          </w:tcPr>
          <w:p w14:paraId="6C1E6336" w14:textId="4AE06CBF" w:rsidR="0068119E" w:rsidRPr="3F0C7B5E" w:rsidRDefault="0068119E" w:rsidP="63F755EF">
            <w:pPr>
              <w:rPr>
                <w:color w:val="000000" w:themeColor="text1"/>
              </w:rPr>
            </w:pPr>
            <w:r w:rsidRPr="3F0C7B5E">
              <w:rPr>
                <w:color w:val="000000" w:themeColor="text1"/>
              </w:rPr>
              <w:t>C</w:t>
            </w:r>
          </w:p>
        </w:tc>
        <w:tc>
          <w:tcPr>
            <w:tcW w:w="6848" w:type="dxa"/>
            <w:tcBorders>
              <w:top w:val="nil"/>
              <w:left w:val="nil"/>
              <w:bottom w:val="nil"/>
              <w:right w:val="single" w:sz="8" w:space="0" w:color="000000" w:themeColor="text1"/>
            </w:tcBorders>
          </w:tcPr>
          <w:p w14:paraId="64D0ECA6" w14:textId="70D8DE98" w:rsidR="0068119E" w:rsidRPr="0068119E" w:rsidRDefault="0068119E" w:rsidP="00E50B8B">
            <w:pPr>
              <w:rPr>
                <w:color w:val="0000FF"/>
                <w:u w:val="single"/>
              </w:rPr>
            </w:pPr>
            <w:r w:rsidRPr="0068119E">
              <w:t>External factors affecting Park &amp; Rides and more info</w:t>
            </w:r>
            <w:r w:rsidR="000A2F86">
              <w:t>rmation</w:t>
            </w:r>
            <w:r w:rsidRPr="0068119E">
              <w:t xml:space="preserve"> on pricing options</w:t>
            </w:r>
          </w:p>
        </w:tc>
      </w:tr>
      <w:tr w:rsidR="0068119E" w:rsidRPr="00975B07" w14:paraId="5A037FB5" w14:textId="77777777" w:rsidTr="00A9054C">
        <w:tc>
          <w:tcPr>
            <w:tcW w:w="1996" w:type="dxa"/>
            <w:tcBorders>
              <w:top w:val="nil"/>
              <w:left w:val="single" w:sz="8" w:space="0" w:color="000000" w:themeColor="text1"/>
              <w:bottom w:val="nil"/>
              <w:right w:val="nil"/>
            </w:tcBorders>
            <w:shd w:val="clear" w:color="auto" w:fill="auto"/>
          </w:tcPr>
          <w:p w14:paraId="4B034658" w14:textId="652629AC" w:rsidR="0068119E" w:rsidRPr="3F0C7B5E" w:rsidRDefault="0068119E" w:rsidP="63F755EF">
            <w:pPr>
              <w:rPr>
                <w:color w:val="000000" w:themeColor="text1"/>
              </w:rPr>
            </w:pPr>
            <w:r w:rsidRPr="3F0C7B5E">
              <w:rPr>
                <w:color w:val="000000" w:themeColor="text1"/>
              </w:rPr>
              <w:t>D</w:t>
            </w:r>
          </w:p>
        </w:tc>
        <w:tc>
          <w:tcPr>
            <w:tcW w:w="6848" w:type="dxa"/>
            <w:tcBorders>
              <w:top w:val="nil"/>
              <w:left w:val="nil"/>
              <w:bottom w:val="nil"/>
              <w:right w:val="single" w:sz="8" w:space="0" w:color="000000" w:themeColor="text1"/>
            </w:tcBorders>
          </w:tcPr>
          <w:p w14:paraId="57AE6FCA" w14:textId="5697A8F3" w:rsidR="0068119E" w:rsidRDefault="0068119E" w:rsidP="00E50B8B">
            <w:r w:rsidRPr="0068119E">
              <w:t>Equalities Impact Assessment</w:t>
            </w:r>
          </w:p>
        </w:tc>
      </w:tr>
      <w:tr w:rsidR="00ED5860" w:rsidRPr="00975B07" w14:paraId="25FDC6AA" w14:textId="77777777" w:rsidTr="00A9054C">
        <w:tc>
          <w:tcPr>
            <w:tcW w:w="1996" w:type="dxa"/>
            <w:tcBorders>
              <w:top w:val="nil"/>
              <w:left w:val="single" w:sz="8" w:space="0" w:color="000000" w:themeColor="text1"/>
              <w:bottom w:val="single" w:sz="8" w:space="0" w:color="000000" w:themeColor="text1"/>
              <w:right w:val="nil"/>
            </w:tcBorders>
            <w:shd w:val="clear" w:color="auto" w:fill="auto"/>
          </w:tcPr>
          <w:p w14:paraId="16AAC7DD" w14:textId="04199104" w:rsidR="00ED5860" w:rsidRPr="00975B07" w:rsidRDefault="0FE03D25" w:rsidP="63F755EF">
            <w:pPr>
              <w:rPr>
                <w:color w:val="000000" w:themeColor="text1"/>
              </w:rPr>
            </w:pPr>
            <w:r w:rsidRPr="3F0C7B5E">
              <w:rPr>
                <w:color w:val="000000" w:themeColor="text1"/>
              </w:rPr>
              <w:t>E</w:t>
            </w:r>
          </w:p>
        </w:tc>
        <w:tc>
          <w:tcPr>
            <w:tcW w:w="6848" w:type="dxa"/>
            <w:tcBorders>
              <w:top w:val="nil"/>
              <w:left w:val="nil"/>
              <w:bottom w:val="single" w:sz="8" w:space="0" w:color="000000" w:themeColor="text1"/>
              <w:right w:val="single" w:sz="8" w:space="0" w:color="000000" w:themeColor="text1"/>
            </w:tcBorders>
          </w:tcPr>
          <w:p w14:paraId="30C2387C" w14:textId="05EDF360" w:rsidR="00D501D9" w:rsidRPr="001356F1" w:rsidRDefault="47678739" w:rsidP="03458BED">
            <w:r w:rsidRPr="0068119E">
              <w:t xml:space="preserve">Risk </w:t>
            </w:r>
            <w:r w:rsidR="008E74C7">
              <w:t>R</w:t>
            </w:r>
            <w:r w:rsidRPr="0068119E">
              <w:t>egister</w:t>
            </w:r>
          </w:p>
        </w:tc>
      </w:tr>
    </w:tbl>
    <w:p w14:paraId="0E718411" w14:textId="77777777" w:rsidR="0068119E" w:rsidRDefault="0068119E">
      <w:pPr>
        <w:spacing w:after="0"/>
        <w:rPr>
          <w:b/>
        </w:rPr>
      </w:pPr>
      <w:r>
        <w:br w:type="page"/>
      </w:r>
    </w:p>
    <w:p w14:paraId="33728442" w14:textId="05404A5D" w:rsidR="0040736F" w:rsidRPr="00236FF7" w:rsidRDefault="6EEADE84" w:rsidP="007A3106">
      <w:pPr>
        <w:pStyle w:val="Heading1"/>
      </w:pPr>
      <w:r>
        <w:lastRenderedPageBreak/>
        <w:t>Introduction and b</w:t>
      </w:r>
      <w:r w:rsidR="54778E7D">
        <w:t>ackground</w:t>
      </w:r>
      <w:r w:rsidR="0D508218">
        <w:t xml:space="preserve"> </w:t>
      </w:r>
    </w:p>
    <w:p w14:paraId="4B48AFCB" w14:textId="77777777" w:rsidR="009E6B4C" w:rsidRPr="009E6B4C" w:rsidRDefault="17EF7006" w:rsidP="3F0C7B5E">
      <w:pPr>
        <w:pStyle w:val="ListParagraph"/>
        <w:rPr>
          <w:rFonts w:cs="Arial"/>
        </w:rPr>
      </w:pPr>
      <w:r w:rsidRPr="3F0C7B5E">
        <w:rPr>
          <w:rFonts w:cs="Arial"/>
        </w:rPr>
        <w:t>Park &amp; Ride</w:t>
      </w:r>
      <w:r w:rsidR="3A0BE30F" w:rsidRPr="3F0C7B5E">
        <w:rPr>
          <w:rFonts w:cs="Arial"/>
        </w:rPr>
        <w:t>s</w:t>
      </w:r>
      <w:r w:rsidRPr="3F0C7B5E">
        <w:rPr>
          <w:rFonts w:cs="Arial"/>
        </w:rPr>
        <w:t xml:space="preserve"> (P&amp;R</w:t>
      </w:r>
      <w:r w:rsidR="3A0BE30F" w:rsidRPr="3F0C7B5E">
        <w:rPr>
          <w:rFonts w:cs="Arial"/>
        </w:rPr>
        <w:t>s</w:t>
      </w:r>
      <w:r w:rsidRPr="3F0C7B5E">
        <w:rPr>
          <w:rFonts w:cs="Arial"/>
        </w:rPr>
        <w:t xml:space="preserve">) are central to the present and future </w:t>
      </w:r>
      <w:r w:rsidR="3A0BE30F" w:rsidRPr="3F0C7B5E">
        <w:rPr>
          <w:rFonts w:cs="Arial"/>
        </w:rPr>
        <w:t>c</w:t>
      </w:r>
      <w:r w:rsidRPr="3F0C7B5E">
        <w:rPr>
          <w:rFonts w:cs="Arial"/>
        </w:rPr>
        <w:t xml:space="preserve">ity bus network and overall transport policy. </w:t>
      </w:r>
      <w:r w:rsidR="3A0BE30F" w:rsidRPr="3F0C7B5E">
        <w:rPr>
          <w:rFonts w:cs="Arial"/>
        </w:rPr>
        <w:t xml:space="preserve">They reduce vehicles driving into the city centre and as such reduce congestion. </w:t>
      </w:r>
    </w:p>
    <w:p w14:paraId="3E8CD417" w14:textId="640C31F5" w:rsidR="009E6B4C" w:rsidRPr="009E6B4C" w:rsidRDefault="17EF7006" w:rsidP="3F0C7B5E">
      <w:pPr>
        <w:pStyle w:val="ListParagraph"/>
        <w:rPr>
          <w:rFonts w:cs="Arial"/>
        </w:rPr>
      </w:pPr>
      <w:r w:rsidRPr="3F0C7B5E">
        <w:rPr>
          <w:rFonts w:cs="Arial"/>
        </w:rPr>
        <w:t>P&amp;R</w:t>
      </w:r>
      <w:r w:rsidR="068FCEE8" w:rsidRPr="3F0C7B5E">
        <w:rPr>
          <w:rFonts w:cs="Arial"/>
        </w:rPr>
        <w:t xml:space="preserve"> services</w:t>
      </w:r>
      <w:r w:rsidR="43245256" w:rsidRPr="3F0C7B5E">
        <w:rPr>
          <w:rFonts w:cs="Arial"/>
        </w:rPr>
        <w:t xml:space="preserve"> are managed at Seacourt, Pear T</w:t>
      </w:r>
      <w:r w:rsidR="6A47881A" w:rsidRPr="3F0C7B5E">
        <w:rPr>
          <w:rFonts w:cs="Arial"/>
        </w:rPr>
        <w:t>ree and Redbridge by the City Council</w:t>
      </w:r>
      <w:r w:rsidR="4FB13948" w:rsidRPr="3F0C7B5E">
        <w:rPr>
          <w:rFonts w:cs="Arial"/>
        </w:rPr>
        <w:t>;</w:t>
      </w:r>
      <w:r w:rsidR="6A47881A" w:rsidRPr="3F0C7B5E">
        <w:rPr>
          <w:rFonts w:cs="Arial"/>
        </w:rPr>
        <w:t xml:space="preserve"> and at Water Eaton (Oxford Parkway) and Thornhill by Oxfordshire County Council. </w:t>
      </w:r>
      <w:r w:rsidR="068FCEE8" w:rsidRPr="3F0C7B5E">
        <w:rPr>
          <w:rFonts w:cs="Arial"/>
        </w:rPr>
        <w:t xml:space="preserve">Thornhill and Water Eaton (Oxford </w:t>
      </w:r>
      <w:r w:rsidRPr="3F0C7B5E">
        <w:rPr>
          <w:rFonts w:cs="Arial"/>
        </w:rPr>
        <w:t>P</w:t>
      </w:r>
      <w:r w:rsidR="068FCEE8" w:rsidRPr="3F0C7B5E">
        <w:rPr>
          <w:rFonts w:cs="Arial"/>
        </w:rPr>
        <w:t>arkway) are serviced by Stagecoach</w:t>
      </w:r>
      <w:r w:rsidR="12FD1D79" w:rsidRPr="3F0C7B5E">
        <w:rPr>
          <w:rFonts w:cs="Arial"/>
        </w:rPr>
        <w:t>, with Redbridge, Seacourt, Pear Tree and Thornhill being serviced</w:t>
      </w:r>
      <w:r w:rsidR="068FCEE8" w:rsidRPr="3F0C7B5E">
        <w:rPr>
          <w:rFonts w:cs="Arial"/>
        </w:rPr>
        <w:t xml:space="preserve"> by Oxford Bus Company. </w:t>
      </w:r>
      <w:r w:rsidR="4A0E770E" w:rsidRPr="3F0C7B5E">
        <w:rPr>
          <w:rFonts w:cs="Arial"/>
        </w:rPr>
        <w:t>The service from Oxford Parkway to Oxford city transferred from Oxford Bus Company to Stagecoach operation in January 2022, following an Oxfordshire-wide bus network review.</w:t>
      </w:r>
    </w:p>
    <w:p w14:paraId="0AB2ABAB" w14:textId="3B26D52F" w:rsidR="008260B9" w:rsidRDefault="748D620F" w:rsidP="3B802FE4">
      <w:pPr>
        <w:pStyle w:val="bParagraphtext"/>
        <w:rPr>
          <w:color w:val="000000" w:themeColor="text1"/>
        </w:rPr>
      </w:pPr>
      <w:r>
        <w:t xml:space="preserve">In the context of car parking and bus patronage at all P&amp;R sites being significantly reduced in comparison to pre-pandemic levels and the risk of some dedicated services being </w:t>
      </w:r>
      <w:r w:rsidR="7050E5C8">
        <w:t>cancelled/de-registered</w:t>
      </w:r>
      <w:r>
        <w:t xml:space="preserve"> by Oxford Bus Company, o</w:t>
      </w:r>
      <w:r w:rsidR="66D60CF6">
        <w:t xml:space="preserve">n </w:t>
      </w:r>
      <w:hyperlink r:id="rId11">
        <w:r w:rsidR="66D60CF6" w:rsidRPr="3F0C7B5E">
          <w:rPr>
            <w:rStyle w:val="Hyperlink"/>
          </w:rPr>
          <w:t>13 July 2022, Cabinet resolved</w:t>
        </w:r>
      </w:hyperlink>
      <w:r w:rsidR="66D60CF6">
        <w:t xml:space="preserve"> to</w:t>
      </w:r>
      <w:r w:rsidR="38AB2034">
        <w:t xml:space="preserve"> </w:t>
      </w:r>
      <w:r w:rsidR="098E6AEA">
        <w:t>amo</w:t>
      </w:r>
      <w:r w:rsidR="6D828DCC">
        <w:t>ng</w:t>
      </w:r>
      <w:r w:rsidR="098E6AEA">
        <w:t>st other things</w:t>
      </w:r>
      <w:r w:rsidR="3B0F17D1">
        <w:t xml:space="preserve">: </w:t>
      </w:r>
      <w:r w:rsidR="2438C1DF">
        <w:t>use of combined parking and bus tickets at Oxford City Council Park and Ride sites at a reduced price for a six month trial period from 30 September 2022 (subject to a review after three months);</w:t>
      </w:r>
    </w:p>
    <w:p w14:paraId="7B94D145" w14:textId="13B9EB02" w:rsidR="008260B9" w:rsidRDefault="748D620F" w:rsidP="3B802FE4">
      <w:pPr>
        <w:pStyle w:val="bParagraphtext"/>
      </w:pPr>
      <w:r>
        <w:t xml:space="preserve">Based on the signs of success during this trial period, on </w:t>
      </w:r>
      <w:hyperlink r:id="rId12">
        <w:r w:rsidRPr="3F0C7B5E">
          <w:rPr>
            <w:rStyle w:val="Hyperlink"/>
          </w:rPr>
          <w:t>8 March 2023, the Executive Director (Development) decided</w:t>
        </w:r>
      </w:hyperlink>
      <w:r>
        <w:t xml:space="preserve"> to extend the trial period for a further six months, the maximum of the delegated authority.</w:t>
      </w:r>
    </w:p>
    <w:p w14:paraId="3AA88F9D" w14:textId="606866ED" w:rsidR="2BEAC35D" w:rsidRDefault="32A5182E" w:rsidP="03458BED">
      <w:pPr>
        <w:pStyle w:val="ListParagraph"/>
        <w:spacing w:line="259" w:lineRule="auto"/>
      </w:pPr>
      <w:r>
        <w:t xml:space="preserve">The pre-pandemic baseline of utilisation and financial performance of P&amp;Rs is relevant (and has been the basis for the council’s budget assumptions), however it is no longer a meaningful guide for the </w:t>
      </w:r>
      <w:r w:rsidR="5A8DD496">
        <w:t xml:space="preserve">current period </w:t>
      </w:r>
      <w:r>
        <w:t xml:space="preserve">or </w:t>
      </w:r>
      <w:r w:rsidR="5A8DD496">
        <w:t xml:space="preserve">the </w:t>
      </w:r>
      <w:r>
        <w:t xml:space="preserve">future. </w:t>
      </w:r>
      <w:r w:rsidR="3D2A5C52">
        <w:t>The performance of P&amp;Rs since the July 2022 decision has been affected by wider trends (such as hybrid working), evolving Government policy (such as capped bus fares), other car park charges (including</w:t>
      </w:r>
      <w:r w:rsidR="19DEB2BA">
        <w:t xml:space="preserve"> an increase in 30p on tariffs up to 5 hours at Westgate shopping </w:t>
      </w:r>
      <w:r w:rsidR="3D2A5C52">
        <w:t xml:space="preserve">centre), and local transport strategy and projects (such as major roadworks on the Botley Road, low traffic neighbourhoods in east Oxford). These factors external to P&amp;R charges </w:t>
      </w:r>
      <w:r w:rsidR="5A8DD496">
        <w:t xml:space="preserve">have broadly presented challenges for the P&amp;Rs and </w:t>
      </w:r>
      <w:r w:rsidR="3D2A5C52">
        <w:t xml:space="preserve">will continue to have an impact after the trial completes, </w:t>
      </w:r>
      <w:r w:rsidR="5A8DD496">
        <w:t>however new external factors are also anticipated which should support a rebound or increase in P&amp;R use. The two most significant examples are</w:t>
      </w:r>
      <w:r w:rsidR="3D2A5C52">
        <w:t xml:space="preserve"> the County Council’s planned introduction of ‘trial traffic filters’ in autumn </w:t>
      </w:r>
      <w:r w:rsidR="5A8DD496">
        <w:t xml:space="preserve">/ winter </w:t>
      </w:r>
      <w:r w:rsidR="3D2A5C52">
        <w:t xml:space="preserve">2024 </w:t>
      </w:r>
      <w:r w:rsidR="5A8DD496">
        <w:t>and the introduction of 1</w:t>
      </w:r>
      <w:r w:rsidR="7E06E97B">
        <w:t>59</w:t>
      </w:r>
      <w:r w:rsidR="5A8DD496">
        <w:t xml:space="preserve"> electric buses in 2023 and 2024.</w:t>
      </w:r>
    </w:p>
    <w:p w14:paraId="5574B586" w14:textId="61B6BBAB" w:rsidR="2BEAC35D" w:rsidRDefault="40789A6B" w:rsidP="03458BED">
      <w:pPr>
        <w:pStyle w:val="ListParagraph"/>
        <w:spacing w:after="160" w:line="257" w:lineRule="auto"/>
        <w:rPr>
          <w:rFonts w:eastAsia="Arial" w:cs="Arial"/>
          <w:color w:val="000000" w:themeColor="text1"/>
        </w:rPr>
      </w:pPr>
      <w:r w:rsidRPr="3F0C7B5E">
        <w:rPr>
          <w:rFonts w:eastAsia="Arial" w:cs="Arial"/>
        </w:rPr>
        <w:t>Combining</w:t>
      </w:r>
      <w:r w:rsidR="4A0F9EB2" w:rsidRPr="3F0C7B5E">
        <w:rPr>
          <w:rFonts w:eastAsia="Arial" w:cs="Arial"/>
        </w:rPr>
        <w:t xml:space="preserve"> parking and bus</w:t>
      </w:r>
      <w:r w:rsidR="6041664B" w:rsidRPr="3F0C7B5E">
        <w:rPr>
          <w:rFonts w:eastAsia="Arial" w:cs="Arial"/>
        </w:rPr>
        <w:t xml:space="preserve"> fare in to one</w:t>
      </w:r>
      <w:r w:rsidR="4A0F9EB2" w:rsidRPr="3F0C7B5E">
        <w:rPr>
          <w:rFonts w:eastAsia="Arial" w:cs="Arial"/>
        </w:rPr>
        <w:t xml:space="preserve"> ticket was agreed as part of July 2022 </w:t>
      </w:r>
      <w:r w:rsidR="00651A22">
        <w:rPr>
          <w:rFonts w:eastAsia="Arial" w:cs="Arial"/>
        </w:rPr>
        <w:t>C</w:t>
      </w:r>
      <w:r w:rsidR="4A0F9EB2" w:rsidRPr="3F0C7B5E">
        <w:rPr>
          <w:rFonts w:eastAsia="Arial" w:cs="Arial"/>
        </w:rPr>
        <w:t>abinet decision (</w:t>
      </w:r>
      <w:r w:rsidR="27660C2B" w:rsidRPr="3F0C7B5E">
        <w:rPr>
          <w:rFonts w:eastAsia="Arial" w:cs="Arial"/>
        </w:rPr>
        <w:t>link</w:t>
      </w:r>
      <w:r w:rsidR="6CCD6FB9" w:rsidRPr="3F0C7B5E">
        <w:rPr>
          <w:rFonts w:eastAsia="Arial" w:cs="Arial"/>
        </w:rPr>
        <w:t xml:space="preserve"> above</w:t>
      </w:r>
      <w:r w:rsidR="4A0F9EB2" w:rsidRPr="3F0C7B5E">
        <w:rPr>
          <w:rFonts w:eastAsia="Arial" w:cs="Arial"/>
        </w:rPr>
        <w:t>) and the evidence since the implementation started in October 2022 indicates no reason to revert from that, so long as the approach to pricing can be agreed. Therefore, all options presented only relate to the pricing level.</w:t>
      </w:r>
    </w:p>
    <w:p w14:paraId="68D68319" w14:textId="36821F00" w:rsidR="2BEAC35D" w:rsidRDefault="4A0F9EB2" w:rsidP="03458BED">
      <w:pPr>
        <w:pStyle w:val="ListParagraph"/>
        <w:numPr>
          <w:ilvl w:val="1"/>
          <w:numId w:val="10"/>
        </w:numPr>
        <w:spacing w:after="160" w:line="257" w:lineRule="auto"/>
        <w:rPr>
          <w:color w:val="000000" w:themeColor="text1"/>
        </w:rPr>
      </w:pPr>
      <w:r w:rsidRPr="3F0C7B5E">
        <w:rPr>
          <w:rFonts w:eastAsia="Arial" w:cs="Arial"/>
        </w:rPr>
        <w:t>Option 1 is the “do nothing”, which assumes that the current price level is retained</w:t>
      </w:r>
      <w:r w:rsidR="48F48132" w:rsidRPr="3F0C7B5E">
        <w:rPr>
          <w:rFonts w:eastAsia="Arial" w:cs="Arial"/>
        </w:rPr>
        <w:t xml:space="preserve"> until the end of the current </w:t>
      </w:r>
      <w:r w:rsidRPr="3F0C7B5E">
        <w:rPr>
          <w:rFonts w:eastAsia="Arial" w:cs="Arial"/>
        </w:rPr>
        <w:t>financial year.</w:t>
      </w:r>
    </w:p>
    <w:p w14:paraId="129FC2F6" w14:textId="6ADF8A9F" w:rsidR="2BEAC35D" w:rsidRDefault="4A0F9EB2" w:rsidP="03458BED">
      <w:pPr>
        <w:pStyle w:val="ListParagraph"/>
        <w:numPr>
          <w:ilvl w:val="1"/>
          <w:numId w:val="10"/>
        </w:numPr>
        <w:spacing w:after="160" w:line="257" w:lineRule="auto"/>
        <w:rPr>
          <w:color w:val="000000" w:themeColor="text1"/>
        </w:rPr>
      </w:pPr>
      <w:r w:rsidRPr="3F0C7B5E">
        <w:rPr>
          <w:rFonts w:eastAsia="Arial" w:cs="Arial"/>
        </w:rPr>
        <w:t>Option 2 is the most radical current option which has been explored, as it assumes a 50p price increase in line with the imminent change to the Government price cap.</w:t>
      </w:r>
    </w:p>
    <w:p w14:paraId="28E6BE3E" w14:textId="57E24669" w:rsidR="2BEAC35D" w:rsidRDefault="4A0F9EB2" w:rsidP="03458BED">
      <w:pPr>
        <w:pStyle w:val="ListParagraph"/>
        <w:numPr>
          <w:ilvl w:val="1"/>
          <w:numId w:val="10"/>
        </w:numPr>
        <w:spacing w:after="160" w:line="257" w:lineRule="auto"/>
        <w:rPr>
          <w:color w:val="000000" w:themeColor="text1"/>
        </w:rPr>
      </w:pPr>
      <w:r w:rsidRPr="3F0C7B5E">
        <w:rPr>
          <w:rFonts w:eastAsia="Arial" w:cs="Arial"/>
        </w:rPr>
        <w:lastRenderedPageBreak/>
        <w:t xml:space="preserve">And then, given the potential risks arising from the price increase soon, Option 3 assumes that a 50p price increase is delayed until April 2024, but it is committed to in this </w:t>
      </w:r>
      <w:r w:rsidR="00651A22">
        <w:rPr>
          <w:rFonts w:eastAsia="Arial" w:cs="Arial"/>
        </w:rPr>
        <w:t>C</w:t>
      </w:r>
      <w:r w:rsidRPr="3F0C7B5E">
        <w:rPr>
          <w:rFonts w:eastAsia="Arial" w:cs="Arial"/>
        </w:rPr>
        <w:t>abinet paper.</w:t>
      </w:r>
      <w:r w:rsidR="748D620F" w:rsidRPr="3F0C7B5E">
        <w:t xml:space="preserve"> </w:t>
      </w:r>
    </w:p>
    <w:p w14:paraId="69FCB60B" w14:textId="40E4EB48" w:rsidR="2BEAC35D" w:rsidRDefault="6A38961B" w:rsidP="03458BED">
      <w:pPr>
        <w:pStyle w:val="ListParagraph"/>
        <w:spacing w:after="160" w:line="257" w:lineRule="auto"/>
      </w:pPr>
      <w:r>
        <w:t>It is</w:t>
      </w:r>
      <w:r w:rsidR="35FDDA73">
        <w:t xml:space="preserve"> recommend</w:t>
      </w:r>
      <w:r w:rsidR="7646C14C">
        <w:t>ed that</w:t>
      </w:r>
      <w:r w:rsidR="35FDDA73">
        <w:t xml:space="preserve"> </w:t>
      </w:r>
      <w:r w:rsidR="25664D98">
        <w:t>Option 1 “do nothing”</w:t>
      </w:r>
      <w:r w:rsidR="498B08B4">
        <w:t xml:space="preserve"> is taken forward,</w:t>
      </w:r>
      <w:r w:rsidR="6DAE6886">
        <w:t xml:space="preserve"> with </w:t>
      </w:r>
      <w:r w:rsidR="25664D98">
        <w:t>the current price level retained</w:t>
      </w:r>
      <w:r w:rsidR="23003CCA">
        <w:t xml:space="preserve"> until the end of the </w:t>
      </w:r>
      <w:r w:rsidR="1229F25A">
        <w:t xml:space="preserve">2023-24 </w:t>
      </w:r>
      <w:r w:rsidR="23003CCA">
        <w:t>financial year</w:t>
      </w:r>
      <w:r w:rsidR="2AF8245C">
        <w:t>.</w:t>
      </w:r>
      <w:r w:rsidR="74DA9886">
        <w:t xml:space="preserve"> This will enable any change in prices from April 2024 to follow on from the Government bus price cap increase (expected in November 2023) and to be synchronised </w:t>
      </w:r>
      <w:r w:rsidR="523E0205">
        <w:t xml:space="preserve">with an identical approach to pricing at the County Council, so that P&amp;R pricing </w:t>
      </w:r>
      <w:r w:rsidR="369A4FDE">
        <w:t xml:space="preserve">and the availability of combined parking-and-bus tickets </w:t>
      </w:r>
      <w:r w:rsidR="523E0205">
        <w:t>remains</w:t>
      </w:r>
      <w:r w:rsidR="2D45F212">
        <w:t xml:space="preserve"> uniform across Oxford.</w:t>
      </w:r>
    </w:p>
    <w:p w14:paraId="34709CC5" w14:textId="0F9A8AEF" w:rsidR="5E98E9B6" w:rsidRDefault="4BEFB987" w:rsidP="03458BED">
      <w:pPr>
        <w:pStyle w:val="bParagraphtext"/>
        <w:spacing w:line="259" w:lineRule="auto"/>
      </w:pPr>
      <w:r>
        <w:t xml:space="preserve">The County Council has a different governance process for P&amp;R changes, however County officers are collaborating with the City and bus operators to inform this </w:t>
      </w:r>
      <w:r w:rsidR="6AE97E13">
        <w:t>City decision-making process</w:t>
      </w:r>
      <w:r w:rsidR="24AFCBD4">
        <w:t>. Due to the need for a consistent customer experience across P&amp;Rs in Oxford, i</w:t>
      </w:r>
      <w:r w:rsidR="6AE97E13">
        <w:t xml:space="preserve">t is understood that the County </w:t>
      </w:r>
      <w:r w:rsidR="6271C8A3">
        <w:t xml:space="preserve">is </w:t>
      </w:r>
      <w:r w:rsidR="1070CC78">
        <w:t>minded to adopt the same decision as City</w:t>
      </w:r>
      <w:r w:rsidR="0F88524D">
        <w:t>.</w:t>
      </w:r>
    </w:p>
    <w:p w14:paraId="2BA7B453" w14:textId="3B6291CE" w:rsidR="009E6B4C" w:rsidRDefault="0C57FD5E" w:rsidP="007A3106">
      <w:pPr>
        <w:pStyle w:val="Heading1"/>
      </w:pPr>
      <w:r>
        <w:t>Pe</w:t>
      </w:r>
      <w:r w:rsidR="3474C0A6">
        <w:t>r</w:t>
      </w:r>
      <w:r>
        <w:t>formance of P&amp;R car parking and bus services during combined ticket trial</w:t>
      </w:r>
    </w:p>
    <w:p w14:paraId="2CA1AB69" w14:textId="421404AC" w:rsidR="00195E6C" w:rsidRPr="00195E6C" w:rsidRDefault="3474C0A6" w:rsidP="00D65A8A">
      <w:pPr>
        <w:pStyle w:val="bParagraphtext"/>
      </w:pPr>
      <w:r>
        <w:t xml:space="preserve">It should be noted that due to the not-exhaustive list of external factors summarised in paragraph 5, it is not possible to draw an explicit causal link between the combined ticket price trial and the performance of parking and bus services. However, given the significant price saving offered by the combined ticket </w:t>
      </w:r>
      <w:r w:rsidR="530E01B1">
        <w:t>(£1 or 20% saving for an individual, £1.80 or 26% saving for two people travelling together), it is assumed that the price meaningfully contributes to the level of demand.</w:t>
      </w:r>
      <w:r>
        <w:t xml:space="preserve"> </w:t>
      </w:r>
    </w:p>
    <w:p w14:paraId="0F5C2275" w14:textId="24C2EE19" w:rsidR="7633638C" w:rsidRDefault="48C1798B" w:rsidP="725DDF62">
      <w:pPr>
        <w:pStyle w:val="bParagraphtext"/>
        <w:rPr>
          <w:color w:val="000000" w:themeColor="text1"/>
        </w:rPr>
      </w:pPr>
      <w:r w:rsidRPr="3F0C7B5E">
        <w:rPr>
          <w:color w:val="000000" w:themeColor="text1"/>
        </w:rPr>
        <w:t xml:space="preserve">Headline performance information is summarised in the following paragraphs. For the City Council, Oxford Bus Company, County Council and Stagecoach there is more information in </w:t>
      </w:r>
      <w:r w:rsidRPr="0068119E">
        <w:rPr>
          <w:color w:val="000000" w:themeColor="text1"/>
        </w:rPr>
        <w:t>Appendix A</w:t>
      </w:r>
      <w:r w:rsidRPr="3F0C7B5E">
        <w:rPr>
          <w:color w:val="000000" w:themeColor="text1"/>
        </w:rPr>
        <w:t>. For the</w:t>
      </w:r>
      <w:r w:rsidR="6E4D661B" w:rsidRPr="3F0C7B5E">
        <w:rPr>
          <w:color w:val="000000" w:themeColor="text1"/>
        </w:rPr>
        <w:t xml:space="preserve"> third parties, some information is only available in </w:t>
      </w:r>
      <w:r w:rsidR="6E4D661B" w:rsidRPr="0068119E">
        <w:rPr>
          <w:color w:val="000000" w:themeColor="text1"/>
        </w:rPr>
        <w:t>Exempt Appendix B</w:t>
      </w:r>
      <w:r w:rsidR="6E4D661B" w:rsidRPr="3F0C7B5E">
        <w:rPr>
          <w:color w:val="000000" w:themeColor="text1"/>
        </w:rPr>
        <w:t>, as it is commercially sensitive and not owned by the City Council.</w:t>
      </w:r>
    </w:p>
    <w:p w14:paraId="5BBDAEE4" w14:textId="0CC38BE1" w:rsidR="009E6B4C" w:rsidRPr="00151F38" w:rsidRDefault="5C46AC6C" w:rsidP="007A3106">
      <w:pPr>
        <w:pStyle w:val="Heading2"/>
      </w:pPr>
      <w:r>
        <w:t xml:space="preserve">City Council </w:t>
      </w:r>
      <w:r w:rsidR="1C0E7F2D">
        <w:t xml:space="preserve">and </w:t>
      </w:r>
      <w:r w:rsidR="61AB625D">
        <w:t>Oxford Bus</w:t>
      </w:r>
      <w:r w:rsidR="1C0E7F2D">
        <w:t xml:space="preserve"> </w:t>
      </w:r>
      <w:r w:rsidR="61AB625D">
        <w:t xml:space="preserve">Company </w:t>
      </w:r>
      <w:r w:rsidR="052E56D6">
        <w:t xml:space="preserve">(OBC) </w:t>
      </w:r>
      <w:r w:rsidR="6C1C3D08">
        <w:t>utilisation</w:t>
      </w:r>
      <w:r w:rsidR="40B0CCEF">
        <w:t xml:space="preserve"> </w:t>
      </w:r>
      <w:r>
        <w:t>and income</w:t>
      </w:r>
      <w:r w:rsidR="1C0E7F2D">
        <w:t xml:space="preserve"> trend</w:t>
      </w:r>
    </w:p>
    <w:p w14:paraId="472A16A9" w14:textId="6177376C" w:rsidR="55D9EC49" w:rsidRDefault="3C3FE3D8" w:rsidP="4E3F9228">
      <w:pPr>
        <w:pStyle w:val="ListParagraph"/>
        <w:spacing w:line="259" w:lineRule="auto"/>
      </w:pPr>
      <w:r>
        <w:t>City P&amp;R sites have benefited in terms of usage and income since the trial period started</w:t>
      </w:r>
      <w:r w:rsidR="5578E513">
        <w:t>:</w:t>
      </w:r>
    </w:p>
    <w:tbl>
      <w:tblPr>
        <w:tblStyle w:val="TableGrid"/>
        <w:tblW w:w="9600" w:type="dxa"/>
        <w:tblLayout w:type="fixed"/>
        <w:tblLook w:val="06A0" w:firstRow="1" w:lastRow="0" w:firstColumn="1" w:lastColumn="0" w:noHBand="1" w:noVBand="1"/>
      </w:tblPr>
      <w:tblGrid>
        <w:gridCol w:w="2430"/>
        <w:gridCol w:w="1035"/>
        <w:gridCol w:w="765"/>
        <w:gridCol w:w="915"/>
        <w:gridCol w:w="765"/>
        <w:gridCol w:w="1035"/>
        <w:gridCol w:w="795"/>
        <w:gridCol w:w="1020"/>
        <w:gridCol w:w="840"/>
      </w:tblGrid>
      <w:tr w:rsidR="4E3F9228" w14:paraId="3FA9D612" w14:textId="77777777" w:rsidTr="7148EB80">
        <w:trPr>
          <w:trHeight w:val="390"/>
        </w:trPr>
        <w:tc>
          <w:tcPr>
            <w:tcW w:w="2430" w:type="dxa"/>
          </w:tcPr>
          <w:p w14:paraId="31B63D64" w14:textId="458D3515" w:rsidR="40568987" w:rsidRDefault="0E266945" w:rsidP="3F0C7B5E">
            <w:pPr>
              <w:rPr>
                <w:b/>
                <w:bCs/>
                <w:color w:val="000000" w:themeColor="text1"/>
                <w:sz w:val="20"/>
                <w:szCs w:val="20"/>
              </w:rPr>
            </w:pPr>
            <w:r w:rsidRPr="3F0C7B5E">
              <w:rPr>
                <w:b/>
                <w:bCs/>
                <w:color w:val="000000" w:themeColor="text1"/>
                <w:sz w:val="20"/>
                <w:szCs w:val="20"/>
              </w:rPr>
              <w:t>City Council P&amp;R utilisation and income from P&amp;R sites</w:t>
            </w:r>
          </w:p>
        </w:tc>
        <w:tc>
          <w:tcPr>
            <w:tcW w:w="1800" w:type="dxa"/>
            <w:gridSpan w:val="2"/>
            <w:vAlign w:val="center"/>
          </w:tcPr>
          <w:p w14:paraId="73992FCA" w14:textId="127BC3D2" w:rsidR="4E3F9228" w:rsidRDefault="7002CCCC" w:rsidP="3F0C7B5E">
            <w:pPr>
              <w:rPr>
                <w:b/>
                <w:bCs/>
                <w:color w:val="000000" w:themeColor="text1"/>
                <w:sz w:val="20"/>
                <w:szCs w:val="20"/>
              </w:rPr>
            </w:pPr>
            <w:r w:rsidRPr="3F0C7B5E">
              <w:rPr>
                <w:b/>
                <w:bCs/>
                <w:color w:val="000000" w:themeColor="text1"/>
                <w:sz w:val="20"/>
                <w:szCs w:val="20"/>
              </w:rPr>
              <w:t>Seacourt</w:t>
            </w:r>
          </w:p>
        </w:tc>
        <w:tc>
          <w:tcPr>
            <w:tcW w:w="1680" w:type="dxa"/>
            <w:gridSpan w:val="2"/>
            <w:vAlign w:val="center"/>
          </w:tcPr>
          <w:p w14:paraId="4E3437F9" w14:textId="55B392AB" w:rsidR="4E3F9228" w:rsidRDefault="7002CCCC" w:rsidP="3F0C7B5E">
            <w:pPr>
              <w:rPr>
                <w:b/>
                <w:bCs/>
                <w:color w:val="000000" w:themeColor="text1"/>
                <w:sz w:val="20"/>
                <w:szCs w:val="20"/>
              </w:rPr>
            </w:pPr>
            <w:r w:rsidRPr="3F0C7B5E">
              <w:rPr>
                <w:b/>
                <w:bCs/>
                <w:color w:val="000000" w:themeColor="text1"/>
                <w:sz w:val="20"/>
                <w:szCs w:val="20"/>
              </w:rPr>
              <w:t>Pear Tree</w:t>
            </w:r>
          </w:p>
        </w:tc>
        <w:tc>
          <w:tcPr>
            <w:tcW w:w="1830" w:type="dxa"/>
            <w:gridSpan w:val="2"/>
            <w:vAlign w:val="center"/>
          </w:tcPr>
          <w:p w14:paraId="1F69F374" w14:textId="3A9EBD5C" w:rsidR="4E3F9228" w:rsidRDefault="7002CCCC" w:rsidP="3F0C7B5E">
            <w:pPr>
              <w:rPr>
                <w:b/>
                <w:bCs/>
                <w:color w:val="000000" w:themeColor="text1"/>
                <w:sz w:val="20"/>
                <w:szCs w:val="20"/>
              </w:rPr>
            </w:pPr>
            <w:r w:rsidRPr="3F0C7B5E">
              <w:rPr>
                <w:b/>
                <w:bCs/>
                <w:color w:val="000000" w:themeColor="text1"/>
                <w:sz w:val="20"/>
                <w:szCs w:val="20"/>
              </w:rPr>
              <w:t>Redbridg</w:t>
            </w:r>
            <w:r w:rsidR="1FD51947" w:rsidRPr="3F0C7B5E">
              <w:rPr>
                <w:b/>
                <w:bCs/>
                <w:color w:val="000000" w:themeColor="text1"/>
                <w:sz w:val="20"/>
                <w:szCs w:val="20"/>
              </w:rPr>
              <w:t>e</w:t>
            </w:r>
          </w:p>
        </w:tc>
        <w:tc>
          <w:tcPr>
            <w:tcW w:w="1860" w:type="dxa"/>
            <w:gridSpan w:val="2"/>
            <w:vAlign w:val="center"/>
          </w:tcPr>
          <w:p w14:paraId="0A45F503" w14:textId="56688E05" w:rsidR="4E3F9228" w:rsidRDefault="7002CCCC" w:rsidP="3F0C7B5E">
            <w:pPr>
              <w:rPr>
                <w:b/>
                <w:bCs/>
                <w:color w:val="000000" w:themeColor="text1"/>
                <w:sz w:val="20"/>
                <w:szCs w:val="20"/>
              </w:rPr>
            </w:pPr>
            <w:r w:rsidRPr="3F0C7B5E">
              <w:rPr>
                <w:b/>
                <w:bCs/>
                <w:color w:val="000000" w:themeColor="text1"/>
                <w:sz w:val="20"/>
                <w:szCs w:val="20"/>
              </w:rPr>
              <w:t>Total</w:t>
            </w:r>
          </w:p>
        </w:tc>
      </w:tr>
      <w:tr w:rsidR="03458BED" w14:paraId="673B5366" w14:textId="77777777" w:rsidTr="7148EB80">
        <w:trPr>
          <w:trHeight w:val="300"/>
        </w:trPr>
        <w:tc>
          <w:tcPr>
            <w:tcW w:w="2430" w:type="dxa"/>
          </w:tcPr>
          <w:p w14:paraId="20DC7D6B" w14:textId="4982DDE7" w:rsidR="03458BED" w:rsidRDefault="03458BED" w:rsidP="3F0C7B5E">
            <w:pPr>
              <w:rPr>
                <w:b/>
                <w:bCs/>
                <w:color w:val="000000" w:themeColor="text1"/>
                <w:sz w:val="20"/>
                <w:szCs w:val="20"/>
              </w:rPr>
            </w:pPr>
          </w:p>
        </w:tc>
        <w:tc>
          <w:tcPr>
            <w:tcW w:w="7170" w:type="dxa"/>
            <w:gridSpan w:val="8"/>
            <w:vAlign w:val="center"/>
          </w:tcPr>
          <w:p w14:paraId="77D4702E" w14:textId="784884F6" w:rsidR="2946B03C" w:rsidRDefault="3DAB214D" w:rsidP="3F0C7B5E">
            <w:pPr>
              <w:jc w:val="center"/>
              <w:rPr>
                <w:b/>
                <w:bCs/>
                <w:color w:val="000000" w:themeColor="text1"/>
                <w:sz w:val="20"/>
                <w:szCs w:val="20"/>
              </w:rPr>
            </w:pPr>
            <w:r w:rsidRPr="3F0C7B5E">
              <w:rPr>
                <w:b/>
                <w:bCs/>
                <w:color w:val="000000" w:themeColor="text1"/>
                <w:sz w:val="20"/>
                <w:szCs w:val="20"/>
              </w:rPr>
              <w:t>Percentage changes</w:t>
            </w:r>
          </w:p>
        </w:tc>
      </w:tr>
      <w:tr w:rsidR="4E3F9228" w14:paraId="11916B88" w14:textId="77777777" w:rsidTr="7148EB80">
        <w:trPr>
          <w:trHeight w:val="435"/>
        </w:trPr>
        <w:tc>
          <w:tcPr>
            <w:tcW w:w="2430" w:type="dxa"/>
          </w:tcPr>
          <w:p w14:paraId="23860FD7" w14:textId="7B63441B" w:rsidR="4765F6E4" w:rsidRDefault="120C9390" w:rsidP="3F0C7B5E">
            <w:pPr>
              <w:rPr>
                <w:b/>
                <w:bCs/>
                <w:color w:val="000000" w:themeColor="text1"/>
                <w:sz w:val="20"/>
                <w:szCs w:val="20"/>
              </w:rPr>
            </w:pPr>
            <w:r w:rsidRPr="3F0C7B5E">
              <w:rPr>
                <w:b/>
                <w:bCs/>
                <w:color w:val="000000" w:themeColor="text1"/>
                <w:sz w:val="20"/>
                <w:szCs w:val="20"/>
              </w:rPr>
              <w:t>Period</w:t>
            </w:r>
          </w:p>
        </w:tc>
        <w:tc>
          <w:tcPr>
            <w:tcW w:w="1035" w:type="dxa"/>
          </w:tcPr>
          <w:p w14:paraId="7F1325A3" w14:textId="69BBB27C" w:rsidR="08C111B3" w:rsidRDefault="24DF06D0" w:rsidP="3F0C7B5E">
            <w:pPr>
              <w:jc w:val="center"/>
              <w:rPr>
                <w:b/>
                <w:bCs/>
                <w:color w:val="000000" w:themeColor="text1"/>
                <w:sz w:val="18"/>
                <w:szCs w:val="18"/>
              </w:rPr>
            </w:pPr>
            <w:r w:rsidRPr="7148EB80">
              <w:rPr>
                <w:b/>
                <w:bCs/>
                <w:color w:val="000000" w:themeColor="text1"/>
                <w:sz w:val="18"/>
                <w:szCs w:val="18"/>
              </w:rPr>
              <w:t>Vehicle</w:t>
            </w:r>
            <w:r w:rsidR="412C0E78" w:rsidRPr="7148EB80">
              <w:rPr>
                <w:b/>
                <w:bCs/>
                <w:color w:val="000000" w:themeColor="text1"/>
                <w:sz w:val="18"/>
                <w:szCs w:val="18"/>
              </w:rPr>
              <w:t>s</w:t>
            </w:r>
          </w:p>
        </w:tc>
        <w:tc>
          <w:tcPr>
            <w:tcW w:w="765" w:type="dxa"/>
          </w:tcPr>
          <w:p w14:paraId="24467DF2" w14:textId="37391D6E" w:rsidR="08C111B3" w:rsidRDefault="284AD775" w:rsidP="3F0C7B5E">
            <w:pPr>
              <w:jc w:val="center"/>
              <w:rPr>
                <w:b/>
                <w:bCs/>
                <w:color w:val="000000" w:themeColor="text1"/>
                <w:sz w:val="18"/>
                <w:szCs w:val="18"/>
              </w:rPr>
            </w:pPr>
            <w:r w:rsidRPr="3F0C7B5E">
              <w:rPr>
                <w:b/>
                <w:bCs/>
                <w:color w:val="000000" w:themeColor="text1"/>
                <w:sz w:val="18"/>
                <w:szCs w:val="18"/>
              </w:rPr>
              <w:t>£</w:t>
            </w:r>
          </w:p>
        </w:tc>
        <w:tc>
          <w:tcPr>
            <w:tcW w:w="915" w:type="dxa"/>
          </w:tcPr>
          <w:p w14:paraId="59B6C5F9" w14:textId="1D2020EB" w:rsidR="7E4F1526" w:rsidRDefault="7E4F1526" w:rsidP="3F0C7B5E">
            <w:pPr>
              <w:jc w:val="center"/>
              <w:rPr>
                <w:b/>
                <w:bCs/>
                <w:color w:val="000000" w:themeColor="text1"/>
                <w:sz w:val="18"/>
                <w:szCs w:val="18"/>
              </w:rPr>
            </w:pPr>
            <w:r w:rsidRPr="3F0C7B5E">
              <w:rPr>
                <w:b/>
                <w:bCs/>
                <w:color w:val="000000" w:themeColor="text1"/>
                <w:sz w:val="18"/>
                <w:szCs w:val="18"/>
              </w:rPr>
              <w:t>Vehicles</w:t>
            </w:r>
          </w:p>
        </w:tc>
        <w:tc>
          <w:tcPr>
            <w:tcW w:w="765" w:type="dxa"/>
          </w:tcPr>
          <w:p w14:paraId="5855CDA3" w14:textId="463A5E1B" w:rsidR="3F0C7B5E" w:rsidRDefault="3F0C7B5E" w:rsidP="3F0C7B5E">
            <w:pPr>
              <w:jc w:val="center"/>
              <w:rPr>
                <w:b/>
                <w:bCs/>
                <w:color w:val="000000" w:themeColor="text1"/>
                <w:sz w:val="18"/>
                <w:szCs w:val="18"/>
              </w:rPr>
            </w:pPr>
            <w:r w:rsidRPr="3F0C7B5E">
              <w:rPr>
                <w:b/>
                <w:bCs/>
                <w:color w:val="000000" w:themeColor="text1"/>
                <w:sz w:val="18"/>
                <w:szCs w:val="18"/>
              </w:rPr>
              <w:t>£</w:t>
            </w:r>
          </w:p>
        </w:tc>
        <w:tc>
          <w:tcPr>
            <w:tcW w:w="1035" w:type="dxa"/>
          </w:tcPr>
          <w:p w14:paraId="121EC165" w14:textId="003DF8FE" w:rsidR="55D8A186" w:rsidRDefault="55D8A186" w:rsidP="3F0C7B5E">
            <w:pPr>
              <w:jc w:val="center"/>
              <w:rPr>
                <w:b/>
                <w:bCs/>
                <w:color w:val="000000" w:themeColor="text1"/>
                <w:sz w:val="18"/>
                <w:szCs w:val="18"/>
              </w:rPr>
            </w:pPr>
            <w:r w:rsidRPr="3F0C7B5E">
              <w:rPr>
                <w:b/>
                <w:bCs/>
                <w:color w:val="000000" w:themeColor="text1"/>
                <w:sz w:val="18"/>
                <w:szCs w:val="18"/>
              </w:rPr>
              <w:t>Vehicles</w:t>
            </w:r>
          </w:p>
        </w:tc>
        <w:tc>
          <w:tcPr>
            <w:tcW w:w="795" w:type="dxa"/>
          </w:tcPr>
          <w:p w14:paraId="02149B42" w14:textId="7751466C" w:rsidR="3F0C7B5E" w:rsidRDefault="3F0C7B5E" w:rsidP="3F0C7B5E">
            <w:pPr>
              <w:jc w:val="center"/>
              <w:rPr>
                <w:b/>
                <w:bCs/>
                <w:color w:val="000000" w:themeColor="text1"/>
                <w:sz w:val="18"/>
                <w:szCs w:val="18"/>
              </w:rPr>
            </w:pPr>
            <w:r w:rsidRPr="3F0C7B5E">
              <w:rPr>
                <w:b/>
                <w:bCs/>
                <w:color w:val="000000" w:themeColor="text1"/>
                <w:sz w:val="18"/>
                <w:szCs w:val="18"/>
              </w:rPr>
              <w:t xml:space="preserve"> £</w:t>
            </w:r>
          </w:p>
        </w:tc>
        <w:tc>
          <w:tcPr>
            <w:tcW w:w="1020" w:type="dxa"/>
          </w:tcPr>
          <w:p w14:paraId="46CA561F" w14:textId="58894FA0" w:rsidR="0237B2FD" w:rsidRDefault="0237B2FD" w:rsidP="3F0C7B5E">
            <w:pPr>
              <w:jc w:val="center"/>
              <w:rPr>
                <w:b/>
                <w:bCs/>
                <w:color w:val="000000" w:themeColor="text1"/>
                <w:sz w:val="18"/>
                <w:szCs w:val="18"/>
              </w:rPr>
            </w:pPr>
            <w:r w:rsidRPr="3F0C7B5E">
              <w:rPr>
                <w:b/>
                <w:bCs/>
                <w:color w:val="000000" w:themeColor="text1"/>
                <w:sz w:val="18"/>
                <w:szCs w:val="18"/>
              </w:rPr>
              <w:t>Vehicles</w:t>
            </w:r>
          </w:p>
        </w:tc>
        <w:tc>
          <w:tcPr>
            <w:tcW w:w="840" w:type="dxa"/>
          </w:tcPr>
          <w:p w14:paraId="3508C5C8" w14:textId="6F8724D7" w:rsidR="3F0C7B5E" w:rsidRDefault="3F0C7B5E" w:rsidP="3F0C7B5E">
            <w:pPr>
              <w:jc w:val="center"/>
              <w:rPr>
                <w:b/>
                <w:bCs/>
                <w:color w:val="000000" w:themeColor="text1"/>
                <w:sz w:val="18"/>
                <w:szCs w:val="18"/>
              </w:rPr>
            </w:pPr>
            <w:r w:rsidRPr="3F0C7B5E">
              <w:rPr>
                <w:b/>
                <w:bCs/>
                <w:color w:val="000000" w:themeColor="text1"/>
                <w:sz w:val="18"/>
                <w:szCs w:val="18"/>
              </w:rPr>
              <w:t xml:space="preserve"> £</w:t>
            </w:r>
          </w:p>
        </w:tc>
      </w:tr>
      <w:tr w:rsidR="4E3F9228" w14:paraId="122D8479" w14:textId="77777777" w:rsidTr="7148EB80">
        <w:trPr>
          <w:trHeight w:val="300"/>
        </w:trPr>
        <w:tc>
          <w:tcPr>
            <w:tcW w:w="2430" w:type="dxa"/>
          </w:tcPr>
          <w:p w14:paraId="7E372F5A" w14:textId="76CBC96A" w:rsidR="4E3F9228" w:rsidRDefault="109DD875" w:rsidP="3F0C7B5E">
            <w:pPr>
              <w:spacing w:line="259" w:lineRule="auto"/>
              <w:rPr>
                <w:rFonts w:eastAsia="Arial" w:cs="Arial"/>
                <w:color w:val="000000" w:themeColor="text1"/>
                <w:sz w:val="20"/>
                <w:szCs w:val="20"/>
              </w:rPr>
            </w:pPr>
            <w:r w:rsidRPr="3F0C7B5E">
              <w:rPr>
                <w:rFonts w:eastAsia="Arial" w:cs="Arial"/>
                <w:color w:val="000000" w:themeColor="text1"/>
                <w:sz w:val="20"/>
                <w:szCs w:val="20"/>
              </w:rPr>
              <w:t>Oct 2022 to June 2023 compared to October 2021 to June 2022</w:t>
            </w:r>
          </w:p>
        </w:tc>
        <w:tc>
          <w:tcPr>
            <w:tcW w:w="1035" w:type="dxa"/>
          </w:tcPr>
          <w:p w14:paraId="267EC876" w14:textId="66498661" w:rsidR="4E3F9228" w:rsidRDefault="110957C6" w:rsidP="7148EB80">
            <w:pPr>
              <w:spacing w:after="0" w:line="259" w:lineRule="auto"/>
              <w:jc w:val="right"/>
              <w:rPr>
                <w:rFonts w:eastAsia="Arial" w:cs="Arial"/>
                <w:color w:val="000000" w:themeColor="text1"/>
                <w:sz w:val="20"/>
                <w:szCs w:val="20"/>
              </w:rPr>
            </w:pPr>
            <w:r w:rsidRPr="7148EB80">
              <w:rPr>
                <w:rFonts w:eastAsia="Arial" w:cs="Arial"/>
                <w:color w:val="000000" w:themeColor="text1"/>
                <w:sz w:val="20"/>
                <w:szCs w:val="20"/>
              </w:rPr>
              <w:t>+2%</w:t>
            </w:r>
          </w:p>
        </w:tc>
        <w:tc>
          <w:tcPr>
            <w:tcW w:w="765" w:type="dxa"/>
          </w:tcPr>
          <w:p w14:paraId="2615D65E" w14:textId="5083E3AC" w:rsidR="4E3F9228" w:rsidRDefault="110957C6" w:rsidP="7148EB80">
            <w:pPr>
              <w:spacing w:line="259" w:lineRule="auto"/>
              <w:jc w:val="right"/>
              <w:rPr>
                <w:rFonts w:eastAsia="Arial" w:cs="Arial"/>
                <w:color w:val="000000" w:themeColor="text1"/>
                <w:sz w:val="20"/>
                <w:szCs w:val="20"/>
              </w:rPr>
            </w:pPr>
            <w:r w:rsidRPr="7148EB80">
              <w:rPr>
                <w:rFonts w:eastAsia="Arial" w:cs="Arial"/>
                <w:color w:val="000000" w:themeColor="text1"/>
                <w:sz w:val="20"/>
                <w:szCs w:val="20"/>
              </w:rPr>
              <w:t>-11%</w:t>
            </w:r>
          </w:p>
          <w:p w14:paraId="7AE52FCB" w14:textId="16744CB9" w:rsidR="4E3F9228" w:rsidRDefault="4E3F9228" w:rsidP="3F0C7B5E">
            <w:pPr>
              <w:spacing w:line="259" w:lineRule="auto"/>
              <w:jc w:val="right"/>
              <w:rPr>
                <w:rFonts w:eastAsia="Arial" w:cs="Arial"/>
                <w:color w:val="000000" w:themeColor="text1"/>
                <w:sz w:val="20"/>
                <w:szCs w:val="20"/>
              </w:rPr>
            </w:pPr>
          </w:p>
        </w:tc>
        <w:tc>
          <w:tcPr>
            <w:tcW w:w="915" w:type="dxa"/>
          </w:tcPr>
          <w:p w14:paraId="115D88A1" w14:textId="1E28E2EA" w:rsidR="4E3F9228" w:rsidRDefault="110957C6" w:rsidP="7148EB80">
            <w:pPr>
              <w:spacing w:after="0"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109DD875" w:rsidRPr="7148EB80">
              <w:rPr>
                <w:rFonts w:eastAsia="Arial" w:cs="Arial"/>
                <w:color w:val="000000" w:themeColor="text1"/>
                <w:sz w:val="20"/>
                <w:szCs w:val="20"/>
              </w:rPr>
              <w:t>24</w:t>
            </w:r>
            <w:r w:rsidR="517FED1B" w:rsidRPr="7148EB80">
              <w:rPr>
                <w:rFonts w:eastAsia="Arial" w:cs="Arial"/>
                <w:color w:val="000000" w:themeColor="text1"/>
                <w:sz w:val="20"/>
                <w:szCs w:val="20"/>
              </w:rPr>
              <w:t>%</w:t>
            </w:r>
          </w:p>
        </w:tc>
        <w:tc>
          <w:tcPr>
            <w:tcW w:w="765" w:type="dxa"/>
          </w:tcPr>
          <w:p w14:paraId="30F86689" w14:textId="404180A0" w:rsidR="4E3F9228" w:rsidRDefault="517FED1B" w:rsidP="7148EB80">
            <w:pPr>
              <w:spacing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109DD875" w:rsidRPr="7148EB80">
              <w:rPr>
                <w:rFonts w:eastAsia="Arial" w:cs="Arial"/>
                <w:color w:val="000000" w:themeColor="text1"/>
                <w:sz w:val="20"/>
                <w:szCs w:val="20"/>
              </w:rPr>
              <w:t>17</w:t>
            </w:r>
            <w:r w:rsidR="35F5B7BA" w:rsidRPr="7148EB80">
              <w:rPr>
                <w:rFonts w:eastAsia="Arial" w:cs="Arial"/>
                <w:color w:val="000000" w:themeColor="text1"/>
                <w:sz w:val="20"/>
                <w:szCs w:val="20"/>
              </w:rPr>
              <w:t>%</w:t>
            </w:r>
          </w:p>
        </w:tc>
        <w:tc>
          <w:tcPr>
            <w:tcW w:w="1035" w:type="dxa"/>
          </w:tcPr>
          <w:p w14:paraId="0BB16C1C" w14:textId="2EEE7919" w:rsidR="4E3F9228" w:rsidRDefault="35F5B7BA" w:rsidP="7148EB80">
            <w:pPr>
              <w:spacing w:after="0"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109DD875" w:rsidRPr="7148EB80">
              <w:rPr>
                <w:rFonts w:eastAsia="Arial" w:cs="Arial"/>
                <w:color w:val="000000" w:themeColor="text1"/>
                <w:sz w:val="20"/>
                <w:szCs w:val="20"/>
              </w:rPr>
              <w:t>24</w:t>
            </w:r>
            <w:r w:rsidR="61D99BDF" w:rsidRPr="7148EB80">
              <w:rPr>
                <w:rFonts w:eastAsia="Arial" w:cs="Arial"/>
                <w:color w:val="000000" w:themeColor="text1"/>
                <w:sz w:val="20"/>
                <w:szCs w:val="20"/>
              </w:rPr>
              <w:t>%</w:t>
            </w:r>
          </w:p>
        </w:tc>
        <w:tc>
          <w:tcPr>
            <w:tcW w:w="795" w:type="dxa"/>
          </w:tcPr>
          <w:p w14:paraId="2227A20E" w14:textId="42C9CB50" w:rsidR="4E3F9228" w:rsidRDefault="61D99BDF" w:rsidP="7148EB80">
            <w:pPr>
              <w:spacing w:after="0"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109DD875" w:rsidRPr="7148EB80">
              <w:rPr>
                <w:rFonts w:eastAsia="Arial" w:cs="Arial"/>
                <w:color w:val="000000" w:themeColor="text1"/>
                <w:sz w:val="20"/>
                <w:szCs w:val="20"/>
              </w:rPr>
              <w:t>14</w:t>
            </w:r>
            <w:r w:rsidR="56B5017B" w:rsidRPr="7148EB80">
              <w:rPr>
                <w:rFonts w:eastAsia="Arial" w:cs="Arial"/>
                <w:color w:val="000000" w:themeColor="text1"/>
                <w:sz w:val="20"/>
                <w:szCs w:val="20"/>
              </w:rPr>
              <w:t>%</w:t>
            </w:r>
          </w:p>
        </w:tc>
        <w:tc>
          <w:tcPr>
            <w:tcW w:w="1020" w:type="dxa"/>
          </w:tcPr>
          <w:p w14:paraId="243ED57B" w14:textId="43319B64" w:rsidR="4E3F9228" w:rsidRDefault="56B5017B" w:rsidP="7148EB80">
            <w:pPr>
              <w:spacing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109DD875" w:rsidRPr="7148EB80">
              <w:rPr>
                <w:rFonts w:eastAsia="Arial" w:cs="Arial"/>
                <w:color w:val="000000" w:themeColor="text1"/>
                <w:sz w:val="20"/>
                <w:szCs w:val="20"/>
              </w:rPr>
              <w:t>16</w:t>
            </w:r>
            <w:r w:rsidR="64C755AE" w:rsidRPr="7148EB80">
              <w:rPr>
                <w:rFonts w:eastAsia="Arial" w:cs="Arial"/>
                <w:color w:val="000000" w:themeColor="text1"/>
                <w:sz w:val="20"/>
                <w:szCs w:val="20"/>
              </w:rPr>
              <w:t>%</w:t>
            </w:r>
          </w:p>
        </w:tc>
        <w:tc>
          <w:tcPr>
            <w:tcW w:w="840" w:type="dxa"/>
          </w:tcPr>
          <w:p w14:paraId="6068FA31" w14:textId="2955FA1A" w:rsidR="4E3F9228" w:rsidRDefault="64C755AE" w:rsidP="7148EB80">
            <w:pPr>
              <w:spacing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109DD875" w:rsidRPr="7148EB80">
              <w:rPr>
                <w:rFonts w:eastAsia="Arial" w:cs="Arial"/>
                <w:color w:val="000000" w:themeColor="text1"/>
                <w:sz w:val="20"/>
                <w:szCs w:val="20"/>
              </w:rPr>
              <w:t>7</w:t>
            </w:r>
            <w:r w:rsidR="21E70935" w:rsidRPr="7148EB80">
              <w:rPr>
                <w:rFonts w:eastAsia="Arial" w:cs="Arial"/>
                <w:color w:val="000000" w:themeColor="text1"/>
                <w:sz w:val="20"/>
                <w:szCs w:val="20"/>
              </w:rPr>
              <w:t>%</w:t>
            </w:r>
          </w:p>
        </w:tc>
      </w:tr>
    </w:tbl>
    <w:p w14:paraId="79D1DBDD" w14:textId="33E42F15" w:rsidR="0382D9F6" w:rsidRDefault="142AD5C1" w:rsidP="4E3F9228">
      <w:pPr>
        <w:pStyle w:val="ListParagraph"/>
        <w:rPr>
          <w:color w:val="000000" w:themeColor="text1"/>
        </w:rPr>
      </w:pPr>
      <w:r w:rsidRPr="3F0C7B5E">
        <w:rPr>
          <w:color w:val="000000" w:themeColor="text1"/>
        </w:rPr>
        <w:t>However, it should be noted that the City Council’s income from these park and ride sites is still 22% down overall when comparing the 2022-23 financial year to the income received pre-Covid in 2019-20.</w:t>
      </w:r>
    </w:p>
    <w:p w14:paraId="53EF073A" w14:textId="13F52AAB" w:rsidR="0068119E" w:rsidRDefault="0068119E">
      <w:pPr>
        <w:spacing w:after="0"/>
        <w:rPr>
          <w:color w:val="000000" w:themeColor="text1"/>
        </w:rPr>
      </w:pPr>
      <w:r>
        <w:rPr>
          <w:color w:val="000000" w:themeColor="text1"/>
        </w:rPr>
        <w:br w:type="page"/>
      </w:r>
    </w:p>
    <w:p w14:paraId="3F72997E" w14:textId="77777777" w:rsidR="0068119E" w:rsidRDefault="0068119E" w:rsidP="0068119E">
      <w:pPr>
        <w:pStyle w:val="ListParagraph"/>
        <w:numPr>
          <w:ilvl w:val="0"/>
          <w:numId w:val="0"/>
        </w:numPr>
        <w:ind w:left="360"/>
        <w:rPr>
          <w:color w:val="000000" w:themeColor="text1"/>
        </w:rPr>
      </w:pPr>
    </w:p>
    <w:p w14:paraId="4052588E" w14:textId="6EB87813" w:rsidR="688A52B0" w:rsidRDefault="3F2847AE" w:rsidP="4E3F9228">
      <w:pPr>
        <w:pStyle w:val="ListParagraph"/>
      </w:pPr>
      <w:r>
        <w:t xml:space="preserve">OBC </w:t>
      </w:r>
      <w:r w:rsidR="24123EF4">
        <w:t xml:space="preserve">have a similar story to </w:t>
      </w:r>
      <w:r w:rsidR="7BBAE050">
        <w:t xml:space="preserve">the </w:t>
      </w:r>
      <w:r w:rsidR="24123EF4">
        <w:t>City</w:t>
      </w:r>
      <w:r w:rsidR="40B678D0">
        <w:t xml:space="preserve"> Council’s</w:t>
      </w:r>
      <w:r w:rsidR="1A315A8A">
        <w:t>:</w:t>
      </w:r>
    </w:p>
    <w:tbl>
      <w:tblPr>
        <w:tblStyle w:val="TableGrid"/>
        <w:tblW w:w="9821" w:type="dxa"/>
        <w:tblLayout w:type="fixed"/>
        <w:tblLook w:val="06A0" w:firstRow="1" w:lastRow="0" w:firstColumn="1" w:lastColumn="0" w:noHBand="1" w:noVBand="1"/>
      </w:tblPr>
      <w:tblGrid>
        <w:gridCol w:w="2235"/>
        <w:gridCol w:w="1245"/>
        <w:gridCol w:w="719"/>
        <w:gridCol w:w="1260"/>
        <w:gridCol w:w="614"/>
        <w:gridCol w:w="1260"/>
        <w:gridCol w:w="614"/>
        <w:gridCol w:w="1290"/>
        <w:gridCol w:w="584"/>
      </w:tblGrid>
      <w:tr w:rsidR="4E3F9228" w14:paraId="18AC8E67" w14:textId="77777777" w:rsidTr="7148EB80">
        <w:trPr>
          <w:trHeight w:val="390"/>
        </w:trPr>
        <w:tc>
          <w:tcPr>
            <w:tcW w:w="2235" w:type="dxa"/>
          </w:tcPr>
          <w:p w14:paraId="50D07CF8" w14:textId="5E84A12C" w:rsidR="0C139947" w:rsidRDefault="3E491FF7" w:rsidP="3F0C7B5E">
            <w:pPr>
              <w:rPr>
                <w:b/>
                <w:bCs/>
                <w:color w:val="000000" w:themeColor="text1"/>
                <w:sz w:val="20"/>
                <w:szCs w:val="20"/>
              </w:rPr>
            </w:pPr>
            <w:r w:rsidRPr="3F0C7B5E">
              <w:rPr>
                <w:b/>
                <w:bCs/>
                <w:color w:val="000000" w:themeColor="text1"/>
                <w:sz w:val="20"/>
                <w:szCs w:val="20"/>
              </w:rPr>
              <w:t>OBC P&amp;R utilisation and income from P&amp;R sites</w:t>
            </w:r>
          </w:p>
        </w:tc>
        <w:tc>
          <w:tcPr>
            <w:tcW w:w="1964" w:type="dxa"/>
            <w:gridSpan w:val="2"/>
            <w:vAlign w:val="center"/>
          </w:tcPr>
          <w:p w14:paraId="118A7A5D" w14:textId="127BC3D2" w:rsidR="4E3F9228" w:rsidRDefault="7002CCCC" w:rsidP="3F0C7B5E">
            <w:pPr>
              <w:rPr>
                <w:b/>
                <w:bCs/>
                <w:color w:val="000000" w:themeColor="text1"/>
                <w:sz w:val="20"/>
                <w:szCs w:val="20"/>
              </w:rPr>
            </w:pPr>
            <w:r w:rsidRPr="3F0C7B5E">
              <w:rPr>
                <w:b/>
                <w:bCs/>
                <w:color w:val="000000" w:themeColor="text1"/>
                <w:sz w:val="20"/>
                <w:szCs w:val="20"/>
              </w:rPr>
              <w:t>Seacourt</w:t>
            </w:r>
          </w:p>
        </w:tc>
        <w:tc>
          <w:tcPr>
            <w:tcW w:w="1874" w:type="dxa"/>
            <w:gridSpan w:val="2"/>
            <w:vAlign w:val="center"/>
          </w:tcPr>
          <w:p w14:paraId="5EF27798" w14:textId="55B392AB" w:rsidR="4E3F9228" w:rsidRDefault="7002CCCC" w:rsidP="3F0C7B5E">
            <w:pPr>
              <w:rPr>
                <w:b/>
                <w:bCs/>
                <w:color w:val="000000" w:themeColor="text1"/>
                <w:sz w:val="20"/>
                <w:szCs w:val="20"/>
              </w:rPr>
            </w:pPr>
            <w:r w:rsidRPr="3F0C7B5E">
              <w:rPr>
                <w:b/>
                <w:bCs/>
                <w:color w:val="000000" w:themeColor="text1"/>
                <w:sz w:val="20"/>
                <w:szCs w:val="20"/>
              </w:rPr>
              <w:t>Pear Tree</w:t>
            </w:r>
          </w:p>
        </w:tc>
        <w:tc>
          <w:tcPr>
            <w:tcW w:w="1874" w:type="dxa"/>
            <w:gridSpan w:val="2"/>
            <w:vAlign w:val="center"/>
          </w:tcPr>
          <w:p w14:paraId="222B0BA6" w14:textId="3A9EBD5C" w:rsidR="4E3F9228" w:rsidRDefault="7002CCCC" w:rsidP="3F0C7B5E">
            <w:pPr>
              <w:rPr>
                <w:b/>
                <w:bCs/>
                <w:color w:val="000000" w:themeColor="text1"/>
                <w:sz w:val="20"/>
                <w:szCs w:val="20"/>
              </w:rPr>
            </w:pPr>
            <w:r w:rsidRPr="3F0C7B5E">
              <w:rPr>
                <w:b/>
                <w:bCs/>
                <w:color w:val="000000" w:themeColor="text1"/>
                <w:sz w:val="20"/>
                <w:szCs w:val="20"/>
              </w:rPr>
              <w:t>Redbridge</w:t>
            </w:r>
          </w:p>
        </w:tc>
        <w:tc>
          <w:tcPr>
            <w:tcW w:w="1874" w:type="dxa"/>
            <w:gridSpan w:val="2"/>
            <w:vAlign w:val="center"/>
          </w:tcPr>
          <w:p w14:paraId="56D476FF" w14:textId="3994C35A" w:rsidR="009E70DC" w:rsidRDefault="678D0E9E" w:rsidP="3F0C7B5E">
            <w:pPr>
              <w:rPr>
                <w:b/>
                <w:bCs/>
                <w:color w:val="000000" w:themeColor="text1"/>
                <w:sz w:val="20"/>
                <w:szCs w:val="20"/>
              </w:rPr>
            </w:pPr>
            <w:r w:rsidRPr="3F0C7B5E">
              <w:rPr>
                <w:b/>
                <w:bCs/>
                <w:color w:val="000000" w:themeColor="text1"/>
                <w:sz w:val="20"/>
                <w:szCs w:val="20"/>
              </w:rPr>
              <w:t xml:space="preserve">City P&amp;R </w:t>
            </w:r>
            <w:r w:rsidR="7002CCCC" w:rsidRPr="3F0C7B5E">
              <w:rPr>
                <w:b/>
                <w:bCs/>
                <w:color w:val="000000" w:themeColor="text1"/>
                <w:sz w:val="20"/>
                <w:szCs w:val="20"/>
              </w:rPr>
              <w:t>Total</w:t>
            </w:r>
          </w:p>
        </w:tc>
      </w:tr>
      <w:tr w:rsidR="03458BED" w14:paraId="1CBC8EF3" w14:textId="77777777" w:rsidTr="7148EB80">
        <w:trPr>
          <w:trHeight w:val="300"/>
        </w:trPr>
        <w:tc>
          <w:tcPr>
            <w:tcW w:w="2235" w:type="dxa"/>
          </w:tcPr>
          <w:p w14:paraId="02D509C8" w14:textId="0796A7DA" w:rsidR="03458BED" w:rsidRDefault="03458BED" w:rsidP="3F0C7B5E">
            <w:pPr>
              <w:rPr>
                <w:b/>
                <w:bCs/>
                <w:color w:val="000000" w:themeColor="text1"/>
                <w:sz w:val="20"/>
                <w:szCs w:val="20"/>
              </w:rPr>
            </w:pPr>
          </w:p>
        </w:tc>
        <w:tc>
          <w:tcPr>
            <w:tcW w:w="7586" w:type="dxa"/>
            <w:gridSpan w:val="8"/>
          </w:tcPr>
          <w:p w14:paraId="41A9E41C" w14:textId="36A3FD0F" w:rsidR="5BA29AC7" w:rsidRDefault="484AB95B" w:rsidP="3F0C7B5E">
            <w:pPr>
              <w:jc w:val="center"/>
              <w:rPr>
                <w:b/>
                <w:bCs/>
                <w:color w:val="000000" w:themeColor="text1"/>
                <w:sz w:val="20"/>
                <w:szCs w:val="20"/>
              </w:rPr>
            </w:pPr>
            <w:r w:rsidRPr="3F0C7B5E">
              <w:rPr>
                <w:b/>
                <w:bCs/>
                <w:color w:val="000000" w:themeColor="text1"/>
                <w:sz w:val="20"/>
                <w:szCs w:val="20"/>
              </w:rPr>
              <w:t>Percentage changes</w:t>
            </w:r>
          </w:p>
        </w:tc>
      </w:tr>
      <w:tr w:rsidR="4E3F9228" w14:paraId="781DF96E" w14:textId="77777777" w:rsidTr="7148EB80">
        <w:trPr>
          <w:trHeight w:val="300"/>
        </w:trPr>
        <w:tc>
          <w:tcPr>
            <w:tcW w:w="2235" w:type="dxa"/>
          </w:tcPr>
          <w:p w14:paraId="3B9DEB08" w14:textId="7B63441B" w:rsidR="4E3F9228" w:rsidRDefault="7002CCCC" w:rsidP="3F0C7B5E">
            <w:pPr>
              <w:rPr>
                <w:b/>
                <w:bCs/>
                <w:color w:val="000000" w:themeColor="text1"/>
                <w:sz w:val="20"/>
                <w:szCs w:val="20"/>
              </w:rPr>
            </w:pPr>
            <w:r w:rsidRPr="3F0C7B5E">
              <w:rPr>
                <w:b/>
                <w:bCs/>
                <w:color w:val="000000" w:themeColor="text1"/>
                <w:sz w:val="20"/>
                <w:szCs w:val="20"/>
              </w:rPr>
              <w:t>Period</w:t>
            </w:r>
          </w:p>
        </w:tc>
        <w:tc>
          <w:tcPr>
            <w:tcW w:w="1245" w:type="dxa"/>
          </w:tcPr>
          <w:p w14:paraId="12F61ABC" w14:textId="7D471CC0" w:rsidR="4E3F9228" w:rsidRDefault="190C0532" w:rsidP="3F0C7B5E">
            <w:pPr>
              <w:spacing w:line="259" w:lineRule="auto"/>
              <w:rPr>
                <w:b/>
                <w:bCs/>
                <w:color w:val="000000" w:themeColor="text1"/>
                <w:sz w:val="18"/>
                <w:szCs w:val="18"/>
              </w:rPr>
            </w:pPr>
            <w:r w:rsidRPr="3F0C7B5E">
              <w:rPr>
                <w:b/>
                <w:bCs/>
                <w:color w:val="000000" w:themeColor="text1"/>
                <w:sz w:val="18"/>
                <w:szCs w:val="18"/>
              </w:rPr>
              <w:t>Passengers</w:t>
            </w:r>
          </w:p>
        </w:tc>
        <w:tc>
          <w:tcPr>
            <w:tcW w:w="719" w:type="dxa"/>
          </w:tcPr>
          <w:p w14:paraId="41E94D07" w14:textId="71F632B3" w:rsidR="4E3F9228" w:rsidRDefault="5B464C97" w:rsidP="3F0C7B5E">
            <w:pPr>
              <w:rPr>
                <w:b/>
                <w:bCs/>
                <w:color w:val="000000" w:themeColor="text1"/>
                <w:sz w:val="18"/>
                <w:szCs w:val="18"/>
              </w:rPr>
            </w:pPr>
            <w:r w:rsidRPr="3F0C7B5E">
              <w:rPr>
                <w:b/>
                <w:bCs/>
                <w:color w:val="000000" w:themeColor="text1"/>
                <w:sz w:val="18"/>
                <w:szCs w:val="18"/>
              </w:rPr>
              <w:t xml:space="preserve"> </w:t>
            </w:r>
            <w:r w:rsidR="7002CCCC" w:rsidRPr="3F0C7B5E">
              <w:rPr>
                <w:b/>
                <w:bCs/>
                <w:color w:val="000000" w:themeColor="text1"/>
                <w:sz w:val="18"/>
                <w:szCs w:val="18"/>
              </w:rPr>
              <w:t>£</w:t>
            </w:r>
          </w:p>
        </w:tc>
        <w:tc>
          <w:tcPr>
            <w:tcW w:w="1260" w:type="dxa"/>
          </w:tcPr>
          <w:p w14:paraId="5A99694C" w14:textId="7D471CC0" w:rsidR="270AA609" w:rsidRDefault="270AA609" w:rsidP="3F0C7B5E">
            <w:pPr>
              <w:spacing w:line="259" w:lineRule="auto"/>
              <w:rPr>
                <w:b/>
                <w:bCs/>
                <w:color w:val="000000" w:themeColor="text1"/>
                <w:sz w:val="18"/>
                <w:szCs w:val="18"/>
              </w:rPr>
            </w:pPr>
            <w:r w:rsidRPr="3F0C7B5E">
              <w:rPr>
                <w:b/>
                <w:bCs/>
                <w:color w:val="000000" w:themeColor="text1"/>
                <w:sz w:val="18"/>
                <w:szCs w:val="18"/>
              </w:rPr>
              <w:t>Passengers</w:t>
            </w:r>
          </w:p>
          <w:p w14:paraId="1FE4B134" w14:textId="56892AAC" w:rsidR="3F0C7B5E" w:rsidRDefault="3F0C7B5E" w:rsidP="3F0C7B5E">
            <w:pPr>
              <w:spacing w:line="259" w:lineRule="auto"/>
              <w:rPr>
                <w:b/>
                <w:bCs/>
                <w:color w:val="000000" w:themeColor="text1"/>
                <w:sz w:val="18"/>
                <w:szCs w:val="18"/>
              </w:rPr>
            </w:pPr>
          </w:p>
        </w:tc>
        <w:tc>
          <w:tcPr>
            <w:tcW w:w="614" w:type="dxa"/>
          </w:tcPr>
          <w:p w14:paraId="373FA736" w14:textId="7E4DA359" w:rsidR="3F0C7B5E" w:rsidRDefault="3F0C7B5E" w:rsidP="3F0C7B5E">
            <w:pPr>
              <w:rPr>
                <w:b/>
                <w:bCs/>
                <w:color w:val="000000" w:themeColor="text1"/>
                <w:sz w:val="18"/>
                <w:szCs w:val="18"/>
              </w:rPr>
            </w:pPr>
            <w:r w:rsidRPr="3F0C7B5E">
              <w:rPr>
                <w:b/>
                <w:bCs/>
                <w:color w:val="000000" w:themeColor="text1"/>
                <w:sz w:val="18"/>
                <w:szCs w:val="18"/>
              </w:rPr>
              <w:t xml:space="preserve"> £</w:t>
            </w:r>
          </w:p>
        </w:tc>
        <w:tc>
          <w:tcPr>
            <w:tcW w:w="1260" w:type="dxa"/>
          </w:tcPr>
          <w:p w14:paraId="5916DF19" w14:textId="7D471CC0" w:rsidR="0671C138" w:rsidRDefault="0671C138" w:rsidP="3F0C7B5E">
            <w:pPr>
              <w:spacing w:line="259" w:lineRule="auto"/>
              <w:rPr>
                <w:b/>
                <w:bCs/>
                <w:color w:val="000000" w:themeColor="text1"/>
                <w:sz w:val="18"/>
                <w:szCs w:val="18"/>
              </w:rPr>
            </w:pPr>
            <w:r w:rsidRPr="3F0C7B5E">
              <w:rPr>
                <w:b/>
                <w:bCs/>
                <w:color w:val="000000" w:themeColor="text1"/>
                <w:sz w:val="18"/>
                <w:szCs w:val="18"/>
              </w:rPr>
              <w:t>Passengers</w:t>
            </w:r>
          </w:p>
          <w:p w14:paraId="783E85DE" w14:textId="60D09745" w:rsidR="3F0C7B5E" w:rsidRDefault="3F0C7B5E" w:rsidP="3F0C7B5E">
            <w:pPr>
              <w:spacing w:line="259" w:lineRule="auto"/>
              <w:rPr>
                <w:b/>
                <w:bCs/>
                <w:color w:val="000000" w:themeColor="text1"/>
                <w:sz w:val="18"/>
                <w:szCs w:val="18"/>
              </w:rPr>
            </w:pPr>
          </w:p>
        </w:tc>
        <w:tc>
          <w:tcPr>
            <w:tcW w:w="614" w:type="dxa"/>
          </w:tcPr>
          <w:p w14:paraId="05018723" w14:textId="38689E77" w:rsidR="3F0C7B5E" w:rsidRDefault="3F0C7B5E" w:rsidP="3F0C7B5E">
            <w:pPr>
              <w:rPr>
                <w:b/>
                <w:bCs/>
                <w:color w:val="000000" w:themeColor="text1"/>
                <w:sz w:val="18"/>
                <w:szCs w:val="18"/>
              </w:rPr>
            </w:pPr>
            <w:r w:rsidRPr="3F0C7B5E">
              <w:rPr>
                <w:b/>
                <w:bCs/>
                <w:color w:val="000000" w:themeColor="text1"/>
                <w:sz w:val="18"/>
                <w:szCs w:val="18"/>
              </w:rPr>
              <w:t xml:space="preserve"> £</w:t>
            </w:r>
          </w:p>
        </w:tc>
        <w:tc>
          <w:tcPr>
            <w:tcW w:w="1290" w:type="dxa"/>
          </w:tcPr>
          <w:p w14:paraId="3723D78C" w14:textId="7D471CC0" w:rsidR="0353AD96" w:rsidRDefault="0353AD96" w:rsidP="3F0C7B5E">
            <w:pPr>
              <w:spacing w:line="259" w:lineRule="auto"/>
              <w:rPr>
                <w:b/>
                <w:bCs/>
                <w:color w:val="000000" w:themeColor="text1"/>
                <w:sz w:val="18"/>
                <w:szCs w:val="18"/>
              </w:rPr>
            </w:pPr>
            <w:r w:rsidRPr="3F0C7B5E">
              <w:rPr>
                <w:b/>
                <w:bCs/>
                <w:color w:val="000000" w:themeColor="text1"/>
                <w:sz w:val="18"/>
                <w:szCs w:val="18"/>
              </w:rPr>
              <w:t>Passengers</w:t>
            </w:r>
          </w:p>
          <w:p w14:paraId="1E50B539" w14:textId="5798C911" w:rsidR="3F0C7B5E" w:rsidRDefault="3F0C7B5E" w:rsidP="3F0C7B5E">
            <w:pPr>
              <w:spacing w:line="259" w:lineRule="auto"/>
              <w:rPr>
                <w:b/>
                <w:bCs/>
                <w:color w:val="000000" w:themeColor="text1"/>
                <w:sz w:val="18"/>
                <w:szCs w:val="18"/>
              </w:rPr>
            </w:pPr>
          </w:p>
        </w:tc>
        <w:tc>
          <w:tcPr>
            <w:tcW w:w="584" w:type="dxa"/>
          </w:tcPr>
          <w:p w14:paraId="5393108C" w14:textId="74E110DC" w:rsidR="3F0C7B5E" w:rsidRDefault="3F0C7B5E" w:rsidP="3F0C7B5E">
            <w:pPr>
              <w:rPr>
                <w:b/>
                <w:bCs/>
                <w:color w:val="000000" w:themeColor="text1"/>
                <w:sz w:val="18"/>
                <w:szCs w:val="18"/>
              </w:rPr>
            </w:pPr>
            <w:r w:rsidRPr="3F0C7B5E">
              <w:rPr>
                <w:b/>
                <w:bCs/>
                <w:color w:val="000000" w:themeColor="text1"/>
                <w:sz w:val="18"/>
                <w:szCs w:val="18"/>
              </w:rPr>
              <w:t xml:space="preserve"> £</w:t>
            </w:r>
          </w:p>
        </w:tc>
      </w:tr>
      <w:tr w:rsidR="4E3F9228" w14:paraId="68C5D1F7" w14:textId="77777777" w:rsidTr="7148EB80">
        <w:trPr>
          <w:trHeight w:val="300"/>
        </w:trPr>
        <w:tc>
          <w:tcPr>
            <w:tcW w:w="2235" w:type="dxa"/>
          </w:tcPr>
          <w:p w14:paraId="30806E7B" w14:textId="5538AA8D" w:rsidR="4E3F9228" w:rsidRDefault="7002CCCC" w:rsidP="3F0C7B5E">
            <w:pPr>
              <w:spacing w:line="259" w:lineRule="auto"/>
              <w:rPr>
                <w:rFonts w:eastAsia="Arial" w:cs="Arial"/>
                <w:color w:val="000000" w:themeColor="text1"/>
                <w:sz w:val="20"/>
                <w:szCs w:val="20"/>
              </w:rPr>
            </w:pPr>
            <w:r w:rsidRPr="3F0C7B5E">
              <w:rPr>
                <w:rFonts w:eastAsia="Arial" w:cs="Arial"/>
                <w:color w:val="000000" w:themeColor="text1"/>
                <w:sz w:val="20"/>
                <w:szCs w:val="20"/>
              </w:rPr>
              <w:t>Oct 2022 to June 2023 compared to October 2021 to June 2022</w:t>
            </w:r>
          </w:p>
        </w:tc>
        <w:tc>
          <w:tcPr>
            <w:tcW w:w="1245" w:type="dxa"/>
          </w:tcPr>
          <w:p w14:paraId="00139C81" w14:textId="46703EF7" w:rsidR="4E3F9228" w:rsidRDefault="4B2D70A5"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22</w:t>
            </w:r>
            <w:r w:rsidR="345B6469" w:rsidRPr="7148EB80">
              <w:rPr>
                <w:rFonts w:eastAsia="Arial" w:cs="Arial"/>
                <w:color w:val="000000" w:themeColor="text1"/>
                <w:sz w:val="18"/>
                <w:szCs w:val="18"/>
              </w:rPr>
              <w:t>%</w:t>
            </w:r>
          </w:p>
        </w:tc>
        <w:tc>
          <w:tcPr>
            <w:tcW w:w="719" w:type="dxa"/>
          </w:tcPr>
          <w:p w14:paraId="4E29C8EF" w14:textId="74F406C0" w:rsidR="4E3F9228" w:rsidRDefault="345B6469"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12</w:t>
            </w:r>
            <w:r w:rsidR="1937E273" w:rsidRPr="7148EB80">
              <w:rPr>
                <w:rFonts w:eastAsia="Arial" w:cs="Arial"/>
                <w:color w:val="000000" w:themeColor="text1"/>
                <w:sz w:val="18"/>
                <w:szCs w:val="18"/>
              </w:rPr>
              <w:t>%</w:t>
            </w:r>
          </w:p>
        </w:tc>
        <w:tc>
          <w:tcPr>
            <w:tcW w:w="1260" w:type="dxa"/>
          </w:tcPr>
          <w:p w14:paraId="44D82875" w14:textId="1D1E16E6" w:rsidR="4E3F9228" w:rsidRDefault="4792A4DC"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34</w:t>
            </w:r>
            <w:r w:rsidR="4433BF6F" w:rsidRPr="7148EB80">
              <w:rPr>
                <w:rFonts w:eastAsia="Arial" w:cs="Arial"/>
                <w:color w:val="000000" w:themeColor="text1"/>
                <w:sz w:val="18"/>
                <w:szCs w:val="18"/>
              </w:rPr>
              <w:t>%</w:t>
            </w:r>
          </w:p>
        </w:tc>
        <w:tc>
          <w:tcPr>
            <w:tcW w:w="614" w:type="dxa"/>
          </w:tcPr>
          <w:p w14:paraId="68B55ADF" w14:textId="68AF17FD" w:rsidR="4E3F9228" w:rsidRDefault="4433BF6F"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23</w:t>
            </w:r>
            <w:r w:rsidR="6741B8AE" w:rsidRPr="7148EB80">
              <w:rPr>
                <w:rFonts w:eastAsia="Arial" w:cs="Arial"/>
                <w:color w:val="000000" w:themeColor="text1"/>
                <w:sz w:val="18"/>
                <w:szCs w:val="18"/>
              </w:rPr>
              <w:t>%</w:t>
            </w:r>
          </w:p>
        </w:tc>
        <w:tc>
          <w:tcPr>
            <w:tcW w:w="1260" w:type="dxa"/>
          </w:tcPr>
          <w:p w14:paraId="29FAC32E" w14:textId="0386F157" w:rsidR="4E3F9228" w:rsidRDefault="6741B8AE"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30</w:t>
            </w:r>
            <w:r w:rsidR="7FD0F3A9" w:rsidRPr="7148EB80">
              <w:rPr>
                <w:rFonts w:eastAsia="Arial" w:cs="Arial"/>
                <w:color w:val="000000" w:themeColor="text1"/>
                <w:sz w:val="18"/>
                <w:szCs w:val="18"/>
              </w:rPr>
              <w:t>%</w:t>
            </w:r>
          </w:p>
        </w:tc>
        <w:tc>
          <w:tcPr>
            <w:tcW w:w="614" w:type="dxa"/>
          </w:tcPr>
          <w:p w14:paraId="36E27C52" w14:textId="4B3885FF" w:rsidR="4E3F9228" w:rsidRDefault="7FD0F3A9"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20</w:t>
            </w:r>
            <w:r w:rsidR="1E3DA462" w:rsidRPr="7148EB80">
              <w:rPr>
                <w:rFonts w:eastAsia="Arial" w:cs="Arial"/>
                <w:color w:val="000000" w:themeColor="text1"/>
                <w:sz w:val="18"/>
                <w:szCs w:val="18"/>
              </w:rPr>
              <w:t>%</w:t>
            </w:r>
          </w:p>
        </w:tc>
        <w:tc>
          <w:tcPr>
            <w:tcW w:w="1290" w:type="dxa"/>
          </w:tcPr>
          <w:p w14:paraId="077F4738" w14:textId="3513461E" w:rsidR="4E3F9228" w:rsidRDefault="1E3DA462"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30</w:t>
            </w:r>
            <w:r w:rsidR="783143FB" w:rsidRPr="7148EB80">
              <w:rPr>
                <w:rFonts w:eastAsia="Arial" w:cs="Arial"/>
                <w:color w:val="000000" w:themeColor="text1"/>
                <w:sz w:val="18"/>
                <w:szCs w:val="18"/>
              </w:rPr>
              <w:t>%</w:t>
            </w:r>
          </w:p>
        </w:tc>
        <w:tc>
          <w:tcPr>
            <w:tcW w:w="584" w:type="dxa"/>
          </w:tcPr>
          <w:p w14:paraId="461EFAF0" w14:textId="03FABD44" w:rsidR="4E3F9228" w:rsidRDefault="783143FB" w:rsidP="7148EB80">
            <w:pPr>
              <w:spacing w:line="259" w:lineRule="auto"/>
              <w:jc w:val="right"/>
              <w:rPr>
                <w:rFonts w:eastAsia="Arial" w:cs="Arial"/>
                <w:color w:val="000000" w:themeColor="text1"/>
                <w:sz w:val="18"/>
                <w:szCs w:val="18"/>
              </w:rPr>
            </w:pPr>
            <w:r w:rsidRPr="7148EB80">
              <w:rPr>
                <w:rFonts w:eastAsia="Arial" w:cs="Arial"/>
                <w:color w:val="000000" w:themeColor="text1"/>
                <w:sz w:val="18"/>
                <w:szCs w:val="18"/>
              </w:rPr>
              <w:t>+</w:t>
            </w:r>
            <w:r w:rsidR="109DD875" w:rsidRPr="7148EB80">
              <w:rPr>
                <w:rFonts w:eastAsia="Arial" w:cs="Arial"/>
                <w:color w:val="000000" w:themeColor="text1"/>
                <w:sz w:val="18"/>
                <w:szCs w:val="18"/>
              </w:rPr>
              <w:t>19</w:t>
            </w:r>
            <w:r w:rsidR="46DD8317" w:rsidRPr="7148EB80">
              <w:rPr>
                <w:rFonts w:eastAsia="Arial" w:cs="Arial"/>
                <w:color w:val="000000" w:themeColor="text1"/>
                <w:sz w:val="18"/>
                <w:szCs w:val="18"/>
              </w:rPr>
              <w:t>%</w:t>
            </w:r>
          </w:p>
        </w:tc>
      </w:tr>
    </w:tbl>
    <w:p w14:paraId="2EFF25FB" w14:textId="56FA29E6" w:rsidR="67E19360" w:rsidRDefault="030A0C41" w:rsidP="4E3F9228">
      <w:pPr>
        <w:pStyle w:val="bParagraphtext"/>
      </w:pPr>
      <w:r>
        <w:t>However, overall income for OBC is still down by around 15% when comparing income for the financial year 2022-23 to the pre pandemic year of 2019-20. Income for all car parks served by OBC, both City and County-operated (i.e</w:t>
      </w:r>
      <w:r w:rsidR="2896FF65">
        <w:t>.</w:t>
      </w:r>
      <w:r>
        <w:t xml:space="preserve"> including Parkway and Thornhill) indicates that income is down by around 24% overall for 2022-23 compared to 2019-20, though this includes a 100% drop in figures for Oxford Parkway caused by the transfer of operations to Stagecoach from January 2022, as noted in paragraph 2.</w:t>
      </w:r>
    </w:p>
    <w:p w14:paraId="0CE8AB93" w14:textId="0465F009" w:rsidR="289BDE35" w:rsidRDefault="5A96F0C2" w:rsidP="44FE2484">
      <w:pPr>
        <w:pStyle w:val="Heading2"/>
      </w:pPr>
      <w:r>
        <w:t>County Council and Stagecoach utilisation and income trend</w:t>
      </w:r>
      <w:r w:rsidR="1D204090">
        <w:t>, for context</w:t>
      </w:r>
    </w:p>
    <w:p w14:paraId="7B2CE4DD" w14:textId="43586578" w:rsidR="70FD725B" w:rsidRDefault="047FC81C" w:rsidP="725DDF62">
      <w:pPr>
        <w:pStyle w:val="ListParagraph"/>
        <w:rPr>
          <w:color w:val="000000" w:themeColor="text1"/>
        </w:rPr>
      </w:pPr>
      <w:r w:rsidRPr="3F0C7B5E">
        <w:rPr>
          <w:color w:val="000000" w:themeColor="text1"/>
        </w:rPr>
        <w:t>County P&amp;R sites</w:t>
      </w:r>
      <w:r w:rsidR="52CF573A" w:rsidRPr="3F0C7B5E">
        <w:rPr>
          <w:color w:val="000000" w:themeColor="text1"/>
        </w:rPr>
        <w:t xml:space="preserve"> have seen greater increases in utilisation and income than City sites</w:t>
      </w:r>
      <w:r w:rsidRPr="3F0C7B5E">
        <w:rPr>
          <w:color w:val="000000" w:themeColor="text1"/>
        </w:rPr>
        <w:t>.</w:t>
      </w:r>
      <w:r w:rsidR="0A4A356E" w:rsidRPr="3F0C7B5E">
        <w:rPr>
          <w:color w:val="000000" w:themeColor="text1"/>
        </w:rPr>
        <w:t xml:space="preserve"> The specific causes of this noticeable difference are unclear, however.</w:t>
      </w:r>
    </w:p>
    <w:tbl>
      <w:tblPr>
        <w:tblStyle w:val="TableGrid"/>
        <w:tblW w:w="9444" w:type="dxa"/>
        <w:tblLayout w:type="fixed"/>
        <w:tblLook w:val="06A0" w:firstRow="1" w:lastRow="0" w:firstColumn="1" w:lastColumn="0" w:noHBand="1" w:noVBand="1"/>
      </w:tblPr>
      <w:tblGrid>
        <w:gridCol w:w="2940"/>
        <w:gridCol w:w="1084"/>
        <w:gridCol w:w="1084"/>
        <w:gridCol w:w="1084"/>
        <w:gridCol w:w="1084"/>
        <w:gridCol w:w="1084"/>
        <w:gridCol w:w="1084"/>
      </w:tblGrid>
      <w:tr w:rsidR="4E3F9228" w14:paraId="0B49529F" w14:textId="77777777" w:rsidTr="7148EB80">
        <w:trPr>
          <w:trHeight w:val="390"/>
        </w:trPr>
        <w:tc>
          <w:tcPr>
            <w:tcW w:w="2940" w:type="dxa"/>
          </w:tcPr>
          <w:p w14:paraId="04E0B0A1" w14:textId="2BB12D37" w:rsidR="4E3F9228" w:rsidRDefault="1BA86F74" w:rsidP="3F0C7B5E">
            <w:pPr>
              <w:rPr>
                <w:b/>
                <w:bCs/>
                <w:color w:val="000000" w:themeColor="text1"/>
                <w:sz w:val="20"/>
                <w:szCs w:val="20"/>
              </w:rPr>
            </w:pPr>
            <w:r w:rsidRPr="3F0C7B5E">
              <w:rPr>
                <w:b/>
                <w:bCs/>
                <w:color w:val="000000" w:themeColor="text1"/>
                <w:sz w:val="20"/>
                <w:szCs w:val="20"/>
              </w:rPr>
              <w:t>C</w:t>
            </w:r>
            <w:r w:rsidR="0F27185F" w:rsidRPr="3F0C7B5E">
              <w:rPr>
                <w:b/>
                <w:bCs/>
                <w:color w:val="000000" w:themeColor="text1"/>
                <w:sz w:val="20"/>
                <w:szCs w:val="20"/>
              </w:rPr>
              <w:t>oun</w:t>
            </w:r>
            <w:r w:rsidRPr="3F0C7B5E">
              <w:rPr>
                <w:b/>
                <w:bCs/>
                <w:color w:val="000000" w:themeColor="text1"/>
                <w:sz w:val="20"/>
                <w:szCs w:val="20"/>
              </w:rPr>
              <w:t>ty Council P&amp;R utilisation and income from P&amp;R sites</w:t>
            </w:r>
          </w:p>
        </w:tc>
        <w:tc>
          <w:tcPr>
            <w:tcW w:w="2168" w:type="dxa"/>
            <w:gridSpan w:val="2"/>
          </w:tcPr>
          <w:p w14:paraId="4BA6D97D" w14:textId="15512277" w:rsidR="67E0A65A" w:rsidRDefault="0F5ADE11" w:rsidP="3F0C7B5E">
            <w:pPr>
              <w:rPr>
                <w:b/>
                <w:bCs/>
                <w:color w:val="000000" w:themeColor="text1"/>
                <w:sz w:val="20"/>
                <w:szCs w:val="20"/>
              </w:rPr>
            </w:pPr>
            <w:r w:rsidRPr="3F0C7B5E">
              <w:rPr>
                <w:b/>
                <w:bCs/>
                <w:color w:val="000000" w:themeColor="text1"/>
                <w:sz w:val="20"/>
                <w:szCs w:val="20"/>
              </w:rPr>
              <w:t>Thornhill</w:t>
            </w:r>
          </w:p>
        </w:tc>
        <w:tc>
          <w:tcPr>
            <w:tcW w:w="2168" w:type="dxa"/>
            <w:gridSpan w:val="2"/>
          </w:tcPr>
          <w:p w14:paraId="0B3950E7" w14:textId="1073AB0F" w:rsidR="67E0A65A" w:rsidRDefault="0F5ADE11" w:rsidP="3F0C7B5E">
            <w:pPr>
              <w:spacing w:line="259" w:lineRule="auto"/>
              <w:rPr>
                <w:b/>
                <w:bCs/>
                <w:color w:val="000000" w:themeColor="text1"/>
                <w:sz w:val="20"/>
                <w:szCs w:val="20"/>
              </w:rPr>
            </w:pPr>
            <w:r w:rsidRPr="3F0C7B5E">
              <w:rPr>
                <w:b/>
                <w:bCs/>
                <w:color w:val="000000" w:themeColor="text1"/>
                <w:sz w:val="20"/>
                <w:szCs w:val="20"/>
              </w:rPr>
              <w:t>Parkway</w:t>
            </w:r>
          </w:p>
        </w:tc>
        <w:tc>
          <w:tcPr>
            <w:tcW w:w="2168" w:type="dxa"/>
            <w:gridSpan w:val="2"/>
          </w:tcPr>
          <w:p w14:paraId="3F1FE487" w14:textId="56688E05" w:rsidR="4E3F9228" w:rsidRDefault="1BA86F74" w:rsidP="3F0C7B5E">
            <w:pPr>
              <w:rPr>
                <w:b/>
                <w:bCs/>
                <w:color w:val="000000" w:themeColor="text1"/>
                <w:sz w:val="20"/>
                <w:szCs w:val="20"/>
              </w:rPr>
            </w:pPr>
            <w:r w:rsidRPr="3F0C7B5E">
              <w:rPr>
                <w:b/>
                <w:bCs/>
                <w:color w:val="000000" w:themeColor="text1"/>
                <w:sz w:val="20"/>
                <w:szCs w:val="20"/>
              </w:rPr>
              <w:t>Total</w:t>
            </w:r>
          </w:p>
        </w:tc>
      </w:tr>
      <w:tr w:rsidR="03458BED" w14:paraId="02156009" w14:textId="77777777" w:rsidTr="7148EB80">
        <w:trPr>
          <w:trHeight w:val="300"/>
        </w:trPr>
        <w:tc>
          <w:tcPr>
            <w:tcW w:w="2940" w:type="dxa"/>
          </w:tcPr>
          <w:p w14:paraId="751C01DE" w14:textId="39275B9C" w:rsidR="03458BED" w:rsidRDefault="03458BED" w:rsidP="3F0C7B5E">
            <w:pPr>
              <w:rPr>
                <w:b/>
                <w:bCs/>
                <w:color w:val="000000" w:themeColor="text1"/>
                <w:sz w:val="20"/>
                <w:szCs w:val="20"/>
              </w:rPr>
            </w:pPr>
          </w:p>
        </w:tc>
        <w:tc>
          <w:tcPr>
            <w:tcW w:w="6504" w:type="dxa"/>
            <w:gridSpan w:val="6"/>
            <w:vAlign w:val="center"/>
          </w:tcPr>
          <w:p w14:paraId="6C873AEA" w14:textId="2D2C08AD" w:rsidR="4F2C3DC6" w:rsidRDefault="448B996D" w:rsidP="3F0C7B5E">
            <w:pPr>
              <w:jc w:val="center"/>
              <w:rPr>
                <w:b/>
                <w:bCs/>
                <w:color w:val="000000" w:themeColor="text1"/>
                <w:sz w:val="20"/>
                <w:szCs w:val="20"/>
              </w:rPr>
            </w:pPr>
            <w:r w:rsidRPr="3F0C7B5E">
              <w:rPr>
                <w:b/>
                <w:bCs/>
                <w:color w:val="000000" w:themeColor="text1"/>
                <w:sz w:val="20"/>
                <w:szCs w:val="20"/>
              </w:rPr>
              <w:t>Percentage changes</w:t>
            </w:r>
          </w:p>
        </w:tc>
      </w:tr>
      <w:tr w:rsidR="4E3F9228" w14:paraId="11D3EB47" w14:textId="77777777" w:rsidTr="7148EB80">
        <w:trPr>
          <w:trHeight w:val="300"/>
        </w:trPr>
        <w:tc>
          <w:tcPr>
            <w:tcW w:w="2940" w:type="dxa"/>
          </w:tcPr>
          <w:p w14:paraId="06CFFCD6" w14:textId="7B63441B" w:rsidR="4E3F9228" w:rsidRDefault="1BA86F74" w:rsidP="3F0C7B5E">
            <w:pPr>
              <w:rPr>
                <w:b/>
                <w:bCs/>
                <w:color w:val="000000" w:themeColor="text1"/>
                <w:sz w:val="20"/>
                <w:szCs w:val="20"/>
              </w:rPr>
            </w:pPr>
            <w:r w:rsidRPr="3F0C7B5E">
              <w:rPr>
                <w:b/>
                <w:bCs/>
                <w:color w:val="000000" w:themeColor="text1"/>
                <w:sz w:val="20"/>
                <w:szCs w:val="20"/>
              </w:rPr>
              <w:t>Period</w:t>
            </w:r>
          </w:p>
        </w:tc>
        <w:tc>
          <w:tcPr>
            <w:tcW w:w="1084" w:type="dxa"/>
            <w:vAlign w:val="center"/>
          </w:tcPr>
          <w:p w14:paraId="2D6382E8" w14:textId="07E6AC7E" w:rsidR="3F0C7B5E" w:rsidRDefault="3F0C7B5E" w:rsidP="3F0C7B5E">
            <w:pPr>
              <w:jc w:val="center"/>
              <w:rPr>
                <w:b/>
                <w:bCs/>
                <w:color w:val="000000" w:themeColor="text1"/>
                <w:sz w:val="18"/>
                <w:szCs w:val="18"/>
              </w:rPr>
            </w:pPr>
            <w:r w:rsidRPr="3F0C7B5E">
              <w:rPr>
                <w:b/>
                <w:bCs/>
                <w:color w:val="000000" w:themeColor="text1"/>
                <w:sz w:val="18"/>
                <w:szCs w:val="18"/>
              </w:rPr>
              <w:t>Vehicles</w:t>
            </w:r>
          </w:p>
        </w:tc>
        <w:tc>
          <w:tcPr>
            <w:tcW w:w="1084" w:type="dxa"/>
            <w:vAlign w:val="center"/>
          </w:tcPr>
          <w:p w14:paraId="67D2B40F" w14:textId="37391D6E" w:rsidR="3F0C7B5E" w:rsidRDefault="3F0C7B5E" w:rsidP="3F0C7B5E">
            <w:pPr>
              <w:jc w:val="center"/>
              <w:rPr>
                <w:b/>
                <w:bCs/>
                <w:color w:val="000000" w:themeColor="text1"/>
                <w:sz w:val="18"/>
                <w:szCs w:val="18"/>
              </w:rPr>
            </w:pPr>
            <w:r w:rsidRPr="3F0C7B5E">
              <w:rPr>
                <w:b/>
                <w:bCs/>
                <w:color w:val="000000" w:themeColor="text1"/>
                <w:sz w:val="18"/>
                <w:szCs w:val="18"/>
              </w:rPr>
              <w:t>£</w:t>
            </w:r>
          </w:p>
        </w:tc>
        <w:tc>
          <w:tcPr>
            <w:tcW w:w="1084" w:type="dxa"/>
            <w:vAlign w:val="center"/>
          </w:tcPr>
          <w:p w14:paraId="108A76B2" w14:textId="1D2020EB" w:rsidR="3F0C7B5E" w:rsidRDefault="3F0C7B5E" w:rsidP="3F0C7B5E">
            <w:pPr>
              <w:jc w:val="center"/>
              <w:rPr>
                <w:b/>
                <w:bCs/>
                <w:color w:val="000000" w:themeColor="text1"/>
                <w:sz w:val="18"/>
                <w:szCs w:val="18"/>
              </w:rPr>
            </w:pPr>
            <w:r w:rsidRPr="3F0C7B5E">
              <w:rPr>
                <w:b/>
                <w:bCs/>
                <w:color w:val="000000" w:themeColor="text1"/>
                <w:sz w:val="18"/>
                <w:szCs w:val="18"/>
              </w:rPr>
              <w:t>Vehicles</w:t>
            </w:r>
          </w:p>
        </w:tc>
        <w:tc>
          <w:tcPr>
            <w:tcW w:w="1084" w:type="dxa"/>
            <w:vAlign w:val="center"/>
          </w:tcPr>
          <w:p w14:paraId="61F02C34" w14:textId="463A5E1B" w:rsidR="3F0C7B5E" w:rsidRDefault="3F0C7B5E" w:rsidP="3F0C7B5E">
            <w:pPr>
              <w:jc w:val="center"/>
              <w:rPr>
                <w:b/>
                <w:bCs/>
                <w:color w:val="000000" w:themeColor="text1"/>
                <w:sz w:val="18"/>
                <w:szCs w:val="18"/>
              </w:rPr>
            </w:pPr>
            <w:r w:rsidRPr="3F0C7B5E">
              <w:rPr>
                <w:b/>
                <w:bCs/>
                <w:color w:val="000000" w:themeColor="text1"/>
                <w:sz w:val="18"/>
                <w:szCs w:val="18"/>
              </w:rPr>
              <w:t>£</w:t>
            </w:r>
          </w:p>
        </w:tc>
        <w:tc>
          <w:tcPr>
            <w:tcW w:w="1084" w:type="dxa"/>
            <w:vAlign w:val="center"/>
          </w:tcPr>
          <w:p w14:paraId="696D687D" w14:textId="003DF8FE" w:rsidR="3F0C7B5E" w:rsidRDefault="3F0C7B5E" w:rsidP="3F0C7B5E">
            <w:pPr>
              <w:jc w:val="center"/>
              <w:rPr>
                <w:b/>
                <w:bCs/>
                <w:color w:val="000000" w:themeColor="text1"/>
                <w:sz w:val="18"/>
                <w:szCs w:val="18"/>
              </w:rPr>
            </w:pPr>
            <w:r w:rsidRPr="3F0C7B5E">
              <w:rPr>
                <w:b/>
                <w:bCs/>
                <w:color w:val="000000" w:themeColor="text1"/>
                <w:sz w:val="18"/>
                <w:szCs w:val="18"/>
              </w:rPr>
              <w:t>Vehicles</w:t>
            </w:r>
          </w:p>
        </w:tc>
        <w:tc>
          <w:tcPr>
            <w:tcW w:w="1084" w:type="dxa"/>
            <w:vAlign w:val="center"/>
          </w:tcPr>
          <w:p w14:paraId="1CF1A0BC" w14:textId="7751466C" w:rsidR="3F0C7B5E" w:rsidRDefault="3F0C7B5E" w:rsidP="3F0C7B5E">
            <w:pPr>
              <w:jc w:val="center"/>
              <w:rPr>
                <w:b/>
                <w:bCs/>
                <w:color w:val="000000" w:themeColor="text1"/>
                <w:sz w:val="18"/>
                <w:szCs w:val="18"/>
              </w:rPr>
            </w:pPr>
            <w:r w:rsidRPr="3F0C7B5E">
              <w:rPr>
                <w:b/>
                <w:bCs/>
                <w:color w:val="000000" w:themeColor="text1"/>
                <w:sz w:val="18"/>
                <w:szCs w:val="18"/>
              </w:rPr>
              <w:t xml:space="preserve"> £</w:t>
            </w:r>
          </w:p>
        </w:tc>
      </w:tr>
      <w:tr w:rsidR="4E3F9228" w14:paraId="69D5866A" w14:textId="77777777" w:rsidTr="7148EB80">
        <w:trPr>
          <w:trHeight w:val="300"/>
        </w:trPr>
        <w:tc>
          <w:tcPr>
            <w:tcW w:w="2940" w:type="dxa"/>
          </w:tcPr>
          <w:p w14:paraId="7776F020" w14:textId="5538AA8D" w:rsidR="4E3F9228" w:rsidRDefault="1BA86F74" w:rsidP="3F0C7B5E">
            <w:pPr>
              <w:spacing w:line="259" w:lineRule="auto"/>
              <w:rPr>
                <w:rFonts w:eastAsia="Arial" w:cs="Arial"/>
                <w:color w:val="000000" w:themeColor="text1"/>
                <w:sz w:val="20"/>
                <w:szCs w:val="20"/>
              </w:rPr>
            </w:pPr>
            <w:r w:rsidRPr="3F0C7B5E">
              <w:rPr>
                <w:rFonts w:eastAsia="Arial" w:cs="Arial"/>
                <w:color w:val="000000" w:themeColor="text1"/>
                <w:sz w:val="20"/>
                <w:szCs w:val="20"/>
              </w:rPr>
              <w:t>Oct 2022 to June 2023 compared to October 2021 to June 2022</w:t>
            </w:r>
          </w:p>
        </w:tc>
        <w:tc>
          <w:tcPr>
            <w:tcW w:w="1084" w:type="dxa"/>
          </w:tcPr>
          <w:p w14:paraId="13D03E24" w14:textId="1A80E237" w:rsidR="4E3F9228" w:rsidRDefault="297CF709"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1B3B61B0" w:rsidRPr="7148EB80">
              <w:rPr>
                <w:rFonts w:eastAsia="Arial" w:cs="Arial"/>
                <w:color w:val="000000" w:themeColor="text1"/>
                <w:sz w:val="20"/>
                <w:szCs w:val="20"/>
              </w:rPr>
              <w:t>39</w:t>
            </w:r>
            <w:r w:rsidR="19D3AC1E" w:rsidRPr="7148EB80">
              <w:rPr>
                <w:rFonts w:eastAsia="Arial" w:cs="Arial"/>
                <w:color w:val="000000" w:themeColor="text1"/>
                <w:sz w:val="20"/>
                <w:szCs w:val="20"/>
              </w:rPr>
              <w:t>%</w:t>
            </w:r>
          </w:p>
        </w:tc>
        <w:tc>
          <w:tcPr>
            <w:tcW w:w="1084" w:type="dxa"/>
          </w:tcPr>
          <w:p w14:paraId="216B0EEA" w14:textId="5A3D5BA0" w:rsidR="4E3F9228" w:rsidRDefault="19D3AC1E" w:rsidP="7148EB80">
            <w:pPr>
              <w:spacing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03B3902E" w:rsidRPr="7148EB80">
              <w:rPr>
                <w:rFonts w:eastAsia="Arial" w:cs="Arial"/>
                <w:color w:val="000000" w:themeColor="text1"/>
                <w:sz w:val="20"/>
                <w:szCs w:val="20"/>
              </w:rPr>
              <w:t>82</w:t>
            </w:r>
            <w:r w:rsidR="518A069A" w:rsidRPr="7148EB80">
              <w:rPr>
                <w:rFonts w:eastAsia="Arial" w:cs="Arial"/>
                <w:color w:val="000000" w:themeColor="text1"/>
                <w:sz w:val="20"/>
                <w:szCs w:val="20"/>
              </w:rPr>
              <w:t>%</w:t>
            </w:r>
          </w:p>
        </w:tc>
        <w:tc>
          <w:tcPr>
            <w:tcW w:w="1084" w:type="dxa"/>
          </w:tcPr>
          <w:p w14:paraId="3F824BD3" w14:textId="545CEA08" w:rsidR="4E3F9228" w:rsidRDefault="518A069A"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1B3B61B0" w:rsidRPr="7148EB80">
              <w:rPr>
                <w:rFonts w:eastAsia="Arial" w:cs="Arial"/>
                <w:color w:val="000000" w:themeColor="text1"/>
                <w:sz w:val="20"/>
                <w:szCs w:val="20"/>
              </w:rPr>
              <w:t>37</w:t>
            </w:r>
            <w:r w:rsidR="5D39DB30" w:rsidRPr="7148EB80">
              <w:rPr>
                <w:rFonts w:eastAsia="Arial" w:cs="Arial"/>
                <w:color w:val="000000" w:themeColor="text1"/>
                <w:sz w:val="20"/>
                <w:szCs w:val="20"/>
              </w:rPr>
              <w:t>%</w:t>
            </w:r>
          </w:p>
        </w:tc>
        <w:tc>
          <w:tcPr>
            <w:tcW w:w="1084" w:type="dxa"/>
          </w:tcPr>
          <w:p w14:paraId="30FC3271" w14:textId="47AD3F18" w:rsidR="4E3F9228" w:rsidRDefault="5D39DB30"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69919C1B" w:rsidRPr="7148EB80">
              <w:rPr>
                <w:rFonts w:eastAsia="Arial" w:cs="Arial"/>
                <w:color w:val="000000" w:themeColor="text1"/>
                <w:sz w:val="20"/>
                <w:szCs w:val="20"/>
              </w:rPr>
              <w:t>51</w:t>
            </w:r>
            <w:r w:rsidR="5F236642" w:rsidRPr="7148EB80">
              <w:rPr>
                <w:rFonts w:eastAsia="Arial" w:cs="Arial"/>
                <w:color w:val="000000" w:themeColor="text1"/>
                <w:sz w:val="20"/>
                <w:szCs w:val="20"/>
              </w:rPr>
              <w:t>%</w:t>
            </w:r>
          </w:p>
        </w:tc>
        <w:tc>
          <w:tcPr>
            <w:tcW w:w="1084" w:type="dxa"/>
          </w:tcPr>
          <w:p w14:paraId="4A0B5C0A" w14:textId="7777A8E8" w:rsidR="4E3F9228" w:rsidRDefault="5F236642"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1B3B61B0" w:rsidRPr="7148EB80">
              <w:rPr>
                <w:rFonts w:eastAsia="Arial" w:cs="Arial"/>
                <w:color w:val="000000" w:themeColor="text1"/>
                <w:sz w:val="20"/>
                <w:szCs w:val="20"/>
              </w:rPr>
              <w:t>39</w:t>
            </w:r>
            <w:r w:rsidR="60C08559" w:rsidRPr="7148EB80">
              <w:rPr>
                <w:rFonts w:eastAsia="Arial" w:cs="Arial"/>
                <w:color w:val="000000" w:themeColor="text1"/>
                <w:sz w:val="20"/>
                <w:szCs w:val="20"/>
              </w:rPr>
              <w:t>%</w:t>
            </w:r>
          </w:p>
        </w:tc>
        <w:tc>
          <w:tcPr>
            <w:tcW w:w="1084" w:type="dxa"/>
          </w:tcPr>
          <w:p w14:paraId="675CF65F" w14:textId="32BE73B2" w:rsidR="4E3F9228" w:rsidRDefault="60C08559" w:rsidP="7148EB80">
            <w:pPr>
              <w:spacing w:line="259" w:lineRule="auto"/>
              <w:jc w:val="right"/>
              <w:rPr>
                <w:rFonts w:eastAsia="Arial" w:cs="Arial"/>
                <w:color w:val="000000" w:themeColor="text1"/>
                <w:sz w:val="20"/>
                <w:szCs w:val="20"/>
              </w:rPr>
            </w:pPr>
            <w:r w:rsidRPr="7148EB80">
              <w:rPr>
                <w:rFonts w:eastAsia="Arial" w:cs="Arial"/>
                <w:color w:val="000000" w:themeColor="text1"/>
                <w:sz w:val="20"/>
                <w:szCs w:val="20"/>
              </w:rPr>
              <w:t>+</w:t>
            </w:r>
            <w:r w:rsidR="53FF3E15" w:rsidRPr="7148EB80">
              <w:rPr>
                <w:rFonts w:eastAsia="Arial" w:cs="Arial"/>
                <w:color w:val="000000" w:themeColor="text1"/>
                <w:sz w:val="20"/>
                <w:szCs w:val="20"/>
              </w:rPr>
              <w:t>70</w:t>
            </w:r>
            <w:r w:rsidR="7DDA5662" w:rsidRPr="7148EB80">
              <w:rPr>
                <w:rFonts w:eastAsia="Arial" w:cs="Arial"/>
                <w:color w:val="000000" w:themeColor="text1"/>
                <w:sz w:val="20"/>
                <w:szCs w:val="20"/>
              </w:rPr>
              <w:t>%</w:t>
            </w:r>
          </w:p>
        </w:tc>
      </w:tr>
    </w:tbl>
    <w:p w14:paraId="14AC615A" w14:textId="326E5F13" w:rsidR="4E3F9228" w:rsidRDefault="4E3F9228" w:rsidP="4E3F9228">
      <w:pPr>
        <w:rPr>
          <w:color w:val="000000" w:themeColor="text1"/>
        </w:rPr>
      </w:pPr>
    </w:p>
    <w:p w14:paraId="716B9331" w14:textId="335F0CB3" w:rsidR="518B858A" w:rsidRDefault="05E54416" w:rsidP="725DDF62">
      <w:pPr>
        <w:pStyle w:val="ListParagraph"/>
        <w:spacing w:line="259" w:lineRule="auto"/>
      </w:pPr>
      <w:r>
        <w:t xml:space="preserve">However, overall </w:t>
      </w:r>
      <w:r w:rsidR="4030A4DE">
        <w:t xml:space="preserve">County P&amp;R </w:t>
      </w:r>
      <w:r>
        <w:t>i</w:t>
      </w:r>
      <w:r w:rsidR="68DAFF1F">
        <w:t xml:space="preserve">ncome for 2022-23 is down by </w:t>
      </w:r>
      <w:r w:rsidR="2A4BF03A">
        <w:t xml:space="preserve">13% </w:t>
      </w:r>
      <w:r w:rsidR="68DAFF1F">
        <w:t>compared to 2021-22.</w:t>
      </w:r>
    </w:p>
    <w:p w14:paraId="73316C7D" w14:textId="0ABDA3C4" w:rsidR="31465C2C" w:rsidRDefault="6C5B9D95" w:rsidP="03458BED">
      <w:pPr>
        <w:pStyle w:val="ListParagraph"/>
      </w:pPr>
      <w:r>
        <w:t>Stagecoach</w:t>
      </w:r>
      <w:r w:rsidR="3E200EA4">
        <w:t xml:space="preserve"> </w:t>
      </w:r>
      <w:r w:rsidR="4DDB0871">
        <w:t>has had a mixed experience, with the before and after comparison hindered due to the introduction of new Stagecoach services at Parkway</w:t>
      </w:r>
      <w:r>
        <w:t xml:space="preserve"> </w:t>
      </w:r>
      <w:r w:rsidR="24F6BF11">
        <w:t>in January 2022.</w:t>
      </w:r>
    </w:p>
    <w:tbl>
      <w:tblPr>
        <w:tblStyle w:val="TableGrid"/>
        <w:tblW w:w="9285" w:type="dxa"/>
        <w:tblLayout w:type="fixed"/>
        <w:tblLook w:val="06A0" w:firstRow="1" w:lastRow="0" w:firstColumn="1" w:lastColumn="0" w:noHBand="1" w:noVBand="1"/>
      </w:tblPr>
      <w:tblGrid>
        <w:gridCol w:w="1910"/>
        <w:gridCol w:w="795"/>
        <w:gridCol w:w="1455"/>
        <w:gridCol w:w="1125"/>
        <w:gridCol w:w="1350"/>
        <w:gridCol w:w="690"/>
        <w:gridCol w:w="1335"/>
        <w:gridCol w:w="625"/>
      </w:tblGrid>
      <w:tr w:rsidR="4E3F9228" w14:paraId="5D09EC73" w14:textId="77777777" w:rsidTr="7148EB80">
        <w:trPr>
          <w:trHeight w:val="390"/>
        </w:trPr>
        <w:tc>
          <w:tcPr>
            <w:tcW w:w="2705" w:type="dxa"/>
            <w:gridSpan w:val="2"/>
          </w:tcPr>
          <w:p w14:paraId="4D40CD27" w14:textId="03128EEA" w:rsidR="0CEDA66F" w:rsidRDefault="3866BBB5" w:rsidP="3F0C7B5E">
            <w:pPr>
              <w:rPr>
                <w:b/>
                <w:bCs/>
                <w:color w:val="000000" w:themeColor="text1"/>
                <w:sz w:val="20"/>
                <w:szCs w:val="20"/>
              </w:rPr>
            </w:pPr>
            <w:r w:rsidRPr="3F0C7B5E">
              <w:rPr>
                <w:b/>
                <w:bCs/>
                <w:color w:val="000000" w:themeColor="text1"/>
                <w:sz w:val="20"/>
                <w:szCs w:val="20"/>
              </w:rPr>
              <w:t>Stagecoach</w:t>
            </w:r>
            <w:r w:rsidR="12B01CB7" w:rsidRPr="3F0C7B5E">
              <w:rPr>
                <w:b/>
                <w:bCs/>
                <w:color w:val="000000" w:themeColor="text1"/>
                <w:sz w:val="20"/>
                <w:szCs w:val="20"/>
              </w:rPr>
              <w:t>/OBC</w:t>
            </w:r>
            <w:r w:rsidRPr="3F0C7B5E">
              <w:rPr>
                <w:b/>
                <w:bCs/>
                <w:color w:val="000000" w:themeColor="text1"/>
                <w:sz w:val="20"/>
                <w:szCs w:val="20"/>
              </w:rPr>
              <w:t xml:space="preserve"> </w:t>
            </w:r>
            <w:r w:rsidR="1BA86F74" w:rsidRPr="3F0C7B5E">
              <w:rPr>
                <w:b/>
                <w:bCs/>
                <w:color w:val="000000" w:themeColor="text1"/>
                <w:sz w:val="20"/>
                <w:szCs w:val="20"/>
              </w:rPr>
              <w:t>P&amp;R utilisation and income from</w:t>
            </w:r>
            <w:r w:rsidR="295A3FD6" w:rsidRPr="3F0C7B5E">
              <w:rPr>
                <w:b/>
                <w:bCs/>
                <w:color w:val="000000" w:themeColor="text1"/>
                <w:sz w:val="20"/>
                <w:szCs w:val="20"/>
              </w:rPr>
              <w:t xml:space="preserve"> county</w:t>
            </w:r>
            <w:r w:rsidR="1BA86F74" w:rsidRPr="3F0C7B5E">
              <w:rPr>
                <w:b/>
                <w:bCs/>
                <w:color w:val="000000" w:themeColor="text1"/>
                <w:sz w:val="20"/>
                <w:szCs w:val="20"/>
              </w:rPr>
              <w:t xml:space="preserve"> P&amp;R sites</w:t>
            </w:r>
          </w:p>
        </w:tc>
        <w:tc>
          <w:tcPr>
            <w:tcW w:w="2580" w:type="dxa"/>
            <w:gridSpan w:val="2"/>
          </w:tcPr>
          <w:p w14:paraId="3849E2BA" w14:textId="0AF168E1" w:rsidR="4E3F9228" w:rsidRDefault="1BA86F74" w:rsidP="3F0C7B5E">
            <w:pPr>
              <w:rPr>
                <w:b/>
                <w:bCs/>
                <w:color w:val="000000" w:themeColor="text1"/>
                <w:sz w:val="20"/>
                <w:szCs w:val="20"/>
              </w:rPr>
            </w:pPr>
            <w:r w:rsidRPr="3F0C7B5E">
              <w:rPr>
                <w:b/>
                <w:bCs/>
                <w:color w:val="000000" w:themeColor="text1"/>
                <w:sz w:val="20"/>
                <w:szCs w:val="20"/>
              </w:rPr>
              <w:t>Thornhill</w:t>
            </w:r>
          </w:p>
          <w:p w14:paraId="144EF7F8" w14:textId="023DF0E2" w:rsidR="4E3F9228" w:rsidRDefault="283043FB" w:rsidP="3F0C7B5E">
            <w:pPr>
              <w:rPr>
                <w:b/>
                <w:bCs/>
                <w:color w:val="000000" w:themeColor="text1"/>
                <w:sz w:val="20"/>
                <w:szCs w:val="20"/>
              </w:rPr>
            </w:pPr>
            <w:r w:rsidRPr="3F0C7B5E">
              <w:rPr>
                <w:b/>
                <w:bCs/>
                <w:color w:val="000000" w:themeColor="text1"/>
                <w:sz w:val="20"/>
                <w:szCs w:val="20"/>
              </w:rPr>
              <w:t>OBC and Stagecoach</w:t>
            </w:r>
            <w:r w:rsidR="236BBFAA" w:rsidRPr="3F0C7B5E">
              <w:rPr>
                <w:b/>
                <w:bCs/>
                <w:color w:val="000000" w:themeColor="text1"/>
                <w:sz w:val="20"/>
                <w:szCs w:val="20"/>
              </w:rPr>
              <w:t xml:space="preserve"> (SG)</w:t>
            </w:r>
          </w:p>
        </w:tc>
        <w:tc>
          <w:tcPr>
            <w:tcW w:w="2040" w:type="dxa"/>
            <w:gridSpan w:val="2"/>
          </w:tcPr>
          <w:p w14:paraId="2A15DD9B" w14:textId="1073AB0F" w:rsidR="4E3F9228" w:rsidRDefault="1BA86F74" w:rsidP="3F0C7B5E">
            <w:pPr>
              <w:spacing w:line="259" w:lineRule="auto"/>
              <w:rPr>
                <w:b/>
                <w:bCs/>
                <w:color w:val="000000" w:themeColor="text1"/>
                <w:sz w:val="20"/>
                <w:szCs w:val="20"/>
              </w:rPr>
            </w:pPr>
            <w:r w:rsidRPr="3F0C7B5E">
              <w:rPr>
                <w:b/>
                <w:bCs/>
                <w:color w:val="000000" w:themeColor="text1"/>
                <w:sz w:val="20"/>
                <w:szCs w:val="20"/>
              </w:rPr>
              <w:t>Parkway</w:t>
            </w:r>
          </w:p>
        </w:tc>
        <w:tc>
          <w:tcPr>
            <w:tcW w:w="1960" w:type="dxa"/>
            <w:gridSpan w:val="2"/>
          </w:tcPr>
          <w:p w14:paraId="3ED83F37" w14:textId="56688E05" w:rsidR="4E3F9228" w:rsidRDefault="1BA86F74" w:rsidP="3F0C7B5E">
            <w:pPr>
              <w:rPr>
                <w:b/>
                <w:bCs/>
                <w:color w:val="000000" w:themeColor="text1"/>
                <w:sz w:val="20"/>
                <w:szCs w:val="20"/>
              </w:rPr>
            </w:pPr>
            <w:r w:rsidRPr="3F0C7B5E">
              <w:rPr>
                <w:b/>
                <w:bCs/>
                <w:color w:val="000000" w:themeColor="text1"/>
                <w:sz w:val="20"/>
                <w:szCs w:val="20"/>
              </w:rPr>
              <w:t>Total</w:t>
            </w:r>
          </w:p>
        </w:tc>
      </w:tr>
      <w:tr w:rsidR="03458BED" w14:paraId="1CB7971C" w14:textId="77777777" w:rsidTr="7148EB80">
        <w:trPr>
          <w:trHeight w:val="300"/>
        </w:trPr>
        <w:tc>
          <w:tcPr>
            <w:tcW w:w="2705" w:type="dxa"/>
            <w:gridSpan w:val="2"/>
          </w:tcPr>
          <w:p w14:paraId="30738974" w14:textId="4C454BC1" w:rsidR="03458BED" w:rsidRDefault="03458BED" w:rsidP="3F0C7B5E">
            <w:pPr>
              <w:rPr>
                <w:b/>
                <w:bCs/>
                <w:color w:val="000000" w:themeColor="text1"/>
                <w:sz w:val="20"/>
                <w:szCs w:val="20"/>
              </w:rPr>
            </w:pPr>
          </w:p>
        </w:tc>
        <w:tc>
          <w:tcPr>
            <w:tcW w:w="6580" w:type="dxa"/>
            <w:gridSpan w:val="6"/>
          </w:tcPr>
          <w:p w14:paraId="552555D9" w14:textId="71EBD7C7" w:rsidR="34E546C3" w:rsidRDefault="3CF353E4" w:rsidP="3F0C7B5E">
            <w:pPr>
              <w:jc w:val="center"/>
              <w:rPr>
                <w:b/>
                <w:bCs/>
                <w:color w:val="000000" w:themeColor="text1"/>
                <w:sz w:val="20"/>
                <w:szCs w:val="20"/>
              </w:rPr>
            </w:pPr>
            <w:r w:rsidRPr="3F0C7B5E">
              <w:rPr>
                <w:b/>
                <w:bCs/>
                <w:color w:val="000000" w:themeColor="text1"/>
                <w:sz w:val="20"/>
                <w:szCs w:val="20"/>
              </w:rPr>
              <w:t>Percentage changes</w:t>
            </w:r>
          </w:p>
        </w:tc>
      </w:tr>
      <w:tr w:rsidR="4E3F9228" w14:paraId="2A837D34" w14:textId="77777777" w:rsidTr="7148EB80">
        <w:trPr>
          <w:trHeight w:val="300"/>
        </w:trPr>
        <w:tc>
          <w:tcPr>
            <w:tcW w:w="1910" w:type="dxa"/>
          </w:tcPr>
          <w:p w14:paraId="6061AE3E" w14:textId="7B63441B" w:rsidR="4E3F9228" w:rsidRDefault="1BA86F74" w:rsidP="3F0C7B5E">
            <w:pPr>
              <w:rPr>
                <w:b/>
                <w:bCs/>
                <w:color w:val="000000" w:themeColor="text1"/>
                <w:sz w:val="20"/>
                <w:szCs w:val="20"/>
              </w:rPr>
            </w:pPr>
            <w:r w:rsidRPr="3F0C7B5E">
              <w:rPr>
                <w:b/>
                <w:bCs/>
                <w:color w:val="000000" w:themeColor="text1"/>
                <w:sz w:val="20"/>
                <w:szCs w:val="20"/>
              </w:rPr>
              <w:t>Period</w:t>
            </w:r>
          </w:p>
        </w:tc>
        <w:tc>
          <w:tcPr>
            <w:tcW w:w="795" w:type="dxa"/>
          </w:tcPr>
          <w:p w14:paraId="13B345DF" w14:textId="2DBFC555" w:rsidR="3F0C7B5E" w:rsidRDefault="3F0C7B5E" w:rsidP="3F0C7B5E">
            <w:pPr>
              <w:rPr>
                <w:b/>
                <w:bCs/>
                <w:color w:val="000000" w:themeColor="text1"/>
                <w:sz w:val="20"/>
                <w:szCs w:val="20"/>
              </w:rPr>
            </w:pPr>
          </w:p>
        </w:tc>
        <w:tc>
          <w:tcPr>
            <w:tcW w:w="1455" w:type="dxa"/>
          </w:tcPr>
          <w:p w14:paraId="1FADBFA8" w14:textId="7D471CC0" w:rsidR="3F0C7B5E" w:rsidRDefault="3F0C7B5E" w:rsidP="3F0C7B5E">
            <w:pPr>
              <w:spacing w:line="259" w:lineRule="auto"/>
              <w:rPr>
                <w:b/>
                <w:bCs/>
                <w:color w:val="000000" w:themeColor="text1"/>
                <w:sz w:val="18"/>
                <w:szCs w:val="18"/>
              </w:rPr>
            </w:pPr>
            <w:r w:rsidRPr="3F0C7B5E">
              <w:rPr>
                <w:b/>
                <w:bCs/>
                <w:color w:val="000000" w:themeColor="text1"/>
                <w:sz w:val="18"/>
                <w:szCs w:val="18"/>
              </w:rPr>
              <w:t>Passengers</w:t>
            </w:r>
          </w:p>
        </w:tc>
        <w:tc>
          <w:tcPr>
            <w:tcW w:w="1125" w:type="dxa"/>
          </w:tcPr>
          <w:p w14:paraId="69B71BC6" w14:textId="71F632B3" w:rsidR="3F0C7B5E" w:rsidRDefault="3F0C7B5E" w:rsidP="3F0C7B5E">
            <w:pPr>
              <w:rPr>
                <w:b/>
                <w:bCs/>
                <w:color w:val="000000" w:themeColor="text1"/>
                <w:sz w:val="18"/>
                <w:szCs w:val="18"/>
              </w:rPr>
            </w:pPr>
            <w:r w:rsidRPr="3F0C7B5E">
              <w:rPr>
                <w:b/>
                <w:bCs/>
                <w:color w:val="000000" w:themeColor="text1"/>
                <w:sz w:val="18"/>
                <w:szCs w:val="18"/>
              </w:rPr>
              <w:t xml:space="preserve"> £</w:t>
            </w:r>
          </w:p>
        </w:tc>
        <w:tc>
          <w:tcPr>
            <w:tcW w:w="1350" w:type="dxa"/>
          </w:tcPr>
          <w:p w14:paraId="337739BE" w14:textId="497E0D5E" w:rsidR="3F0C7B5E" w:rsidRDefault="3F0C7B5E" w:rsidP="3F0C7B5E">
            <w:pPr>
              <w:spacing w:line="259" w:lineRule="auto"/>
              <w:rPr>
                <w:b/>
                <w:bCs/>
                <w:color w:val="000000" w:themeColor="text1"/>
                <w:sz w:val="18"/>
                <w:szCs w:val="18"/>
              </w:rPr>
            </w:pPr>
            <w:r w:rsidRPr="3F0C7B5E">
              <w:rPr>
                <w:b/>
                <w:bCs/>
                <w:color w:val="000000" w:themeColor="text1"/>
                <w:sz w:val="18"/>
                <w:szCs w:val="18"/>
              </w:rPr>
              <w:t>Passenger</w:t>
            </w:r>
            <w:r w:rsidR="285EF7C4" w:rsidRPr="3F0C7B5E">
              <w:rPr>
                <w:b/>
                <w:bCs/>
                <w:color w:val="000000" w:themeColor="text1"/>
                <w:sz w:val="18"/>
                <w:szCs w:val="18"/>
              </w:rPr>
              <w:t>s</w:t>
            </w:r>
          </w:p>
        </w:tc>
        <w:tc>
          <w:tcPr>
            <w:tcW w:w="690" w:type="dxa"/>
          </w:tcPr>
          <w:p w14:paraId="73E65467" w14:textId="7E4DA359" w:rsidR="3F0C7B5E" w:rsidRDefault="3F0C7B5E" w:rsidP="3F0C7B5E">
            <w:pPr>
              <w:rPr>
                <w:b/>
                <w:bCs/>
                <w:color w:val="000000" w:themeColor="text1"/>
                <w:sz w:val="18"/>
                <w:szCs w:val="18"/>
              </w:rPr>
            </w:pPr>
            <w:r w:rsidRPr="3F0C7B5E">
              <w:rPr>
                <w:b/>
                <w:bCs/>
                <w:color w:val="000000" w:themeColor="text1"/>
                <w:sz w:val="18"/>
                <w:szCs w:val="18"/>
              </w:rPr>
              <w:t xml:space="preserve"> £</w:t>
            </w:r>
          </w:p>
        </w:tc>
        <w:tc>
          <w:tcPr>
            <w:tcW w:w="1335" w:type="dxa"/>
          </w:tcPr>
          <w:p w14:paraId="5861712F" w14:textId="2C1BEAAC" w:rsidR="3F0C7B5E" w:rsidRDefault="3F0C7B5E" w:rsidP="3F0C7B5E">
            <w:pPr>
              <w:spacing w:line="259" w:lineRule="auto"/>
              <w:rPr>
                <w:b/>
                <w:bCs/>
                <w:color w:val="000000" w:themeColor="text1"/>
                <w:sz w:val="18"/>
                <w:szCs w:val="18"/>
              </w:rPr>
            </w:pPr>
            <w:r w:rsidRPr="3F0C7B5E">
              <w:rPr>
                <w:b/>
                <w:bCs/>
                <w:color w:val="000000" w:themeColor="text1"/>
                <w:sz w:val="18"/>
                <w:szCs w:val="18"/>
              </w:rPr>
              <w:t>Passenger</w:t>
            </w:r>
            <w:r w:rsidR="55557FD1" w:rsidRPr="3F0C7B5E">
              <w:rPr>
                <w:b/>
                <w:bCs/>
                <w:color w:val="000000" w:themeColor="text1"/>
                <w:sz w:val="18"/>
                <w:szCs w:val="18"/>
              </w:rPr>
              <w:t>s</w:t>
            </w:r>
          </w:p>
        </w:tc>
        <w:tc>
          <w:tcPr>
            <w:tcW w:w="625" w:type="dxa"/>
          </w:tcPr>
          <w:p w14:paraId="037E559B" w14:textId="38689E77" w:rsidR="3F0C7B5E" w:rsidRDefault="3F0C7B5E" w:rsidP="3F0C7B5E">
            <w:pPr>
              <w:rPr>
                <w:b/>
                <w:bCs/>
                <w:color w:val="000000" w:themeColor="text1"/>
                <w:sz w:val="18"/>
                <w:szCs w:val="18"/>
              </w:rPr>
            </w:pPr>
            <w:r w:rsidRPr="3F0C7B5E">
              <w:rPr>
                <w:b/>
                <w:bCs/>
                <w:color w:val="000000" w:themeColor="text1"/>
                <w:sz w:val="18"/>
                <w:szCs w:val="18"/>
              </w:rPr>
              <w:t xml:space="preserve"> £</w:t>
            </w:r>
          </w:p>
        </w:tc>
      </w:tr>
      <w:tr w:rsidR="3F0C7B5E" w14:paraId="201AD959" w14:textId="77777777" w:rsidTr="7148EB80">
        <w:trPr>
          <w:trHeight w:val="300"/>
        </w:trPr>
        <w:tc>
          <w:tcPr>
            <w:tcW w:w="1910" w:type="dxa"/>
            <w:vMerge w:val="restart"/>
          </w:tcPr>
          <w:p w14:paraId="42435A2C" w14:textId="3E0EE045" w:rsidR="6FD08BD4" w:rsidRDefault="6FD08BD4" w:rsidP="3F0C7B5E">
            <w:pPr>
              <w:spacing w:line="259" w:lineRule="auto"/>
              <w:rPr>
                <w:rFonts w:eastAsia="Arial" w:cs="Arial"/>
                <w:color w:val="000000" w:themeColor="text1"/>
                <w:sz w:val="20"/>
                <w:szCs w:val="20"/>
              </w:rPr>
            </w:pPr>
            <w:r w:rsidRPr="3F0C7B5E">
              <w:rPr>
                <w:rFonts w:eastAsia="Arial" w:cs="Arial"/>
                <w:color w:val="000000" w:themeColor="text1"/>
                <w:sz w:val="20"/>
                <w:szCs w:val="20"/>
              </w:rPr>
              <w:t>Oct 2022 to June 2023 compared to October 2021 to June 2022</w:t>
            </w:r>
          </w:p>
        </w:tc>
        <w:tc>
          <w:tcPr>
            <w:tcW w:w="795" w:type="dxa"/>
          </w:tcPr>
          <w:p w14:paraId="021E4CC1" w14:textId="255D9B9B" w:rsidR="6969F570" w:rsidRDefault="6969F570" w:rsidP="3F0C7B5E">
            <w:pPr>
              <w:spacing w:line="259" w:lineRule="auto"/>
              <w:rPr>
                <w:rFonts w:eastAsia="Arial" w:cs="Arial"/>
                <w:color w:val="000000" w:themeColor="text1"/>
                <w:sz w:val="20"/>
                <w:szCs w:val="20"/>
              </w:rPr>
            </w:pPr>
            <w:r w:rsidRPr="3F0C7B5E">
              <w:rPr>
                <w:rFonts w:eastAsia="Arial" w:cs="Arial"/>
                <w:color w:val="000000" w:themeColor="text1"/>
                <w:sz w:val="20"/>
                <w:szCs w:val="20"/>
              </w:rPr>
              <w:t>SG</w:t>
            </w:r>
          </w:p>
        </w:tc>
        <w:tc>
          <w:tcPr>
            <w:tcW w:w="1455" w:type="dxa"/>
          </w:tcPr>
          <w:p w14:paraId="39F35EA1" w14:textId="4A3264E3" w:rsidR="3F0C7B5E" w:rsidRDefault="1E4223D5" w:rsidP="7148EB80">
            <w:pPr>
              <w:spacing w:line="257" w:lineRule="auto"/>
              <w:jc w:val="right"/>
              <w:rPr>
                <w:rFonts w:eastAsia="Arial" w:cs="Arial"/>
                <w:color w:val="000000" w:themeColor="text1"/>
                <w:sz w:val="20"/>
                <w:szCs w:val="20"/>
                <w:lang w:val="en-US"/>
              </w:rPr>
            </w:pPr>
            <w:r w:rsidRPr="7148EB80">
              <w:rPr>
                <w:rFonts w:eastAsia="Arial" w:cs="Arial"/>
                <w:color w:val="000000" w:themeColor="text1"/>
                <w:sz w:val="20"/>
                <w:szCs w:val="20"/>
              </w:rPr>
              <w:t>-4.3%</w:t>
            </w:r>
          </w:p>
        </w:tc>
        <w:tc>
          <w:tcPr>
            <w:tcW w:w="1125" w:type="dxa"/>
          </w:tcPr>
          <w:p w14:paraId="06633C47" w14:textId="31FFCF72" w:rsidR="3F0C7B5E" w:rsidRDefault="1E4223D5"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-1</w:t>
            </w:r>
            <w:r w:rsidR="3F0C7B5E" w:rsidRPr="7148EB80">
              <w:rPr>
                <w:rFonts w:eastAsia="Arial" w:cs="Arial"/>
                <w:color w:val="000000" w:themeColor="text1"/>
                <w:sz w:val="20"/>
                <w:szCs w:val="20"/>
              </w:rPr>
              <w:t>5</w:t>
            </w:r>
            <w:r w:rsidR="6589FCA6" w:rsidRPr="7148EB80">
              <w:rPr>
                <w:rFonts w:eastAsia="Arial" w:cs="Arial"/>
                <w:color w:val="000000" w:themeColor="text1"/>
                <w:sz w:val="20"/>
                <w:szCs w:val="20"/>
              </w:rPr>
              <w:t>%</w:t>
            </w:r>
          </w:p>
        </w:tc>
        <w:tc>
          <w:tcPr>
            <w:tcW w:w="1350" w:type="dxa"/>
          </w:tcPr>
          <w:p w14:paraId="1748C5F9" w14:textId="2DED6525" w:rsidR="3F0C7B5E" w:rsidRDefault="6589FCA6" w:rsidP="7148EB80">
            <w:pPr>
              <w:spacing w:line="257" w:lineRule="auto"/>
              <w:jc w:val="right"/>
              <w:rPr>
                <w:rFonts w:eastAsia="Arial" w:cs="Arial"/>
                <w:color w:val="000000" w:themeColor="text1"/>
                <w:sz w:val="20"/>
                <w:szCs w:val="20"/>
                <w:lang w:val="en-US"/>
              </w:rPr>
            </w:pPr>
            <w:r w:rsidRPr="7148EB80">
              <w:rPr>
                <w:rFonts w:eastAsia="Arial" w:cs="Arial"/>
                <w:color w:val="000000" w:themeColor="text1"/>
                <w:sz w:val="20"/>
                <w:szCs w:val="20"/>
              </w:rPr>
              <w:t>+</w:t>
            </w:r>
            <w:r w:rsidR="3F0C7B5E" w:rsidRPr="7148EB80">
              <w:rPr>
                <w:rFonts w:eastAsia="Arial" w:cs="Arial"/>
                <w:color w:val="000000" w:themeColor="text1"/>
                <w:sz w:val="20"/>
                <w:szCs w:val="20"/>
              </w:rPr>
              <w:t>86</w:t>
            </w:r>
            <w:r w:rsidR="0BBC6256" w:rsidRPr="7148EB80">
              <w:rPr>
                <w:rFonts w:eastAsia="Arial" w:cs="Arial"/>
                <w:color w:val="000000" w:themeColor="text1"/>
                <w:sz w:val="20"/>
                <w:szCs w:val="20"/>
              </w:rPr>
              <w:t>%</w:t>
            </w:r>
          </w:p>
        </w:tc>
        <w:tc>
          <w:tcPr>
            <w:tcW w:w="690" w:type="dxa"/>
          </w:tcPr>
          <w:p w14:paraId="5C169166" w14:textId="0F2DAAF0" w:rsidR="3F0C7B5E" w:rsidRDefault="0BBC6256"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3F0C7B5E" w:rsidRPr="7148EB80">
              <w:rPr>
                <w:rFonts w:eastAsia="Arial" w:cs="Arial"/>
                <w:color w:val="000000" w:themeColor="text1"/>
                <w:sz w:val="20"/>
                <w:szCs w:val="20"/>
              </w:rPr>
              <w:t>58</w:t>
            </w:r>
            <w:r w:rsidR="7AABA6FB" w:rsidRPr="7148EB80">
              <w:rPr>
                <w:rFonts w:eastAsia="Arial" w:cs="Arial"/>
                <w:color w:val="000000" w:themeColor="text1"/>
                <w:sz w:val="20"/>
                <w:szCs w:val="20"/>
              </w:rPr>
              <w:t>%</w:t>
            </w:r>
          </w:p>
        </w:tc>
        <w:tc>
          <w:tcPr>
            <w:tcW w:w="1335" w:type="dxa"/>
          </w:tcPr>
          <w:p w14:paraId="49680881" w14:textId="13A30CEC" w:rsidR="3F0C7B5E" w:rsidRDefault="7AABA6FB" w:rsidP="7148EB80">
            <w:pPr>
              <w:spacing w:line="257" w:lineRule="auto"/>
              <w:jc w:val="right"/>
              <w:rPr>
                <w:rFonts w:eastAsia="Arial" w:cs="Arial"/>
                <w:color w:val="000000" w:themeColor="text1"/>
                <w:sz w:val="20"/>
                <w:szCs w:val="20"/>
                <w:lang w:val="en-US"/>
              </w:rPr>
            </w:pPr>
            <w:r w:rsidRPr="7148EB80">
              <w:rPr>
                <w:rFonts w:eastAsia="Arial" w:cs="Arial"/>
                <w:color w:val="000000" w:themeColor="text1"/>
                <w:sz w:val="20"/>
                <w:szCs w:val="20"/>
              </w:rPr>
              <w:t>+</w:t>
            </w:r>
            <w:r w:rsidR="3F0C7B5E" w:rsidRPr="7148EB80">
              <w:rPr>
                <w:rFonts w:eastAsia="Arial" w:cs="Arial"/>
                <w:color w:val="000000" w:themeColor="text1"/>
                <w:sz w:val="20"/>
                <w:szCs w:val="20"/>
              </w:rPr>
              <w:t>73</w:t>
            </w:r>
            <w:r w:rsidR="18329B77" w:rsidRPr="7148EB80">
              <w:rPr>
                <w:rFonts w:eastAsia="Arial" w:cs="Arial"/>
                <w:color w:val="000000" w:themeColor="text1"/>
                <w:sz w:val="20"/>
                <w:szCs w:val="20"/>
              </w:rPr>
              <w:t>%</w:t>
            </w:r>
          </w:p>
        </w:tc>
        <w:tc>
          <w:tcPr>
            <w:tcW w:w="625" w:type="dxa"/>
          </w:tcPr>
          <w:p w14:paraId="7AEA08A9" w14:textId="11AAECB1" w:rsidR="3F0C7B5E" w:rsidRDefault="18329B77"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3F0C7B5E" w:rsidRPr="7148EB80">
              <w:rPr>
                <w:rFonts w:eastAsia="Arial" w:cs="Arial"/>
                <w:color w:val="000000" w:themeColor="text1"/>
                <w:sz w:val="20"/>
                <w:szCs w:val="20"/>
              </w:rPr>
              <w:t>45</w:t>
            </w:r>
            <w:r w:rsidR="15492E83" w:rsidRPr="7148EB80">
              <w:rPr>
                <w:rFonts w:eastAsia="Arial" w:cs="Arial"/>
                <w:color w:val="000000" w:themeColor="text1"/>
                <w:sz w:val="20"/>
                <w:szCs w:val="20"/>
              </w:rPr>
              <w:t>%</w:t>
            </w:r>
          </w:p>
        </w:tc>
      </w:tr>
      <w:tr w:rsidR="4E3F9228" w14:paraId="39403918" w14:textId="77777777" w:rsidTr="7148EB80">
        <w:trPr>
          <w:trHeight w:val="300"/>
        </w:trPr>
        <w:tc>
          <w:tcPr>
            <w:tcW w:w="1910" w:type="dxa"/>
            <w:vMerge/>
          </w:tcPr>
          <w:p w14:paraId="49BB5A91" w14:textId="5538AA8D" w:rsidR="4E3F9228" w:rsidRDefault="233743BC" w:rsidP="725DDF62">
            <w:pPr>
              <w:spacing w:line="259" w:lineRule="auto"/>
              <w:rPr>
                <w:rFonts w:eastAsia="Arial" w:cs="Arial"/>
                <w:color w:val="000000" w:themeColor="text1"/>
              </w:rPr>
            </w:pPr>
            <w:r w:rsidRPr="725DDF62">
              <w:rPr>
                <w:rFonts w:eastAsia="Arial" w:cs="Arial"/>
                <w:color w:val="000000" w:themeColor="text1"/>
              </w:rPr>
              <w:t>Oct 2022 to June 2023 compared to October 2021 to June 2022</w:t>
            </w:r>
          </w:p>
        </w:tc>
        <w:tc>
          <w:tcPr>
            <w:tcW w:w="795" w:type="dxa"/>
          </w:tcPr>
          <w:p w14:paraId="062F0AB2" w14:textId="1BB1B442" w:rsidR="764AC6ED" w:rsidRDefault="764AC6ED" w:rsidP="3F0C7B5E">
            <w:pPr>
              <w:spacing w:line="259" w:lineRule="auto"/>
              <w:rPr>
                <w:rFonts w:eastAsia="Arial" w:cs="Arial"/>
                <w:color w:val="000000" w:themeColor="text1"/>
                <w:sz w:val="20"/>
                <w:szCs w:val="20"/>
              </w:rPr>
            </w:pPr>
            <w:r w:rsidRPr="3F0C7B5E">
              <w:rPr>
                <w:rFonts w:eastAsia="Arial" w:cs="Arial"/>
                <w:color w:val="000000" w:themeColor="text1"/>
                <w:sz w:val="20"/>
                <w:szCs w:val="20"/>
              </w:rPr>
              <w:t>OBC</w:t>
            </w:r>
          </w:p>
        </w:tc>
        <w:tc>
          <w:tcPr>
            <w:tcW w:w="1455" w:type="dxa"/>
          </w:tcPr>
          <w:p w14:paraId="7FA0B5A9" w14:textId="220B22EA" w:rsidR="725DDF62" w:rsidRDefault="4A31F53D"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76A979AC" w:rsidRPr="7148EB80">
              <w:rPr>
                <w:rFonts w:eastAsia="Arial" w:cs="Arial"/>
                <w:color w:val="000000" w:themeColor="text1"/>
                <w:sz w:val="20"/>
                <w:szCs w:val="20"/>
              </w:rPr>
              <w:t>22</w:t>
            </w:r>
            <w:r w:rsidR="315783E5" w:rsidRPr="7148EB80">
              <w:rPr>
                <w:rFonts w:eastAsia="Arial" w:cs="Arial"/>
                <w:color w:val="000000" w:themeColor="text1"/>
                <w:sz w:val="20"/>
                <w:szCs w:val="20"/>
              </w:rPr>
              <w:t>%</w:t>
            </w:r>
          </w:p>
        </w:tc>
        <w:tc>
          <w:tcPr>
            <w:tcW w:w="1125" w:type="dxa"/>
          </w:tcPr>
          <w:p w14:paraId="6BB5A044" w14:textId="597DC29B" w:rsidR="725DDF62" w:rsidRDefault="315783E5"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6993A750" w:rsidRPr="7148EB80">
              <w:rPr>
                <w:rFonts w:eastAsia="Arial" w:cs="Arial"/>
                <w:color w:val="000000" w:themeColor="text1"/>
                <w:sz w:val="20"/>
                <w:szCs w:val="20"/>
              </w:rPr>
              <w:t>12</w:t>
            </w:r>
            <w:r w:rsidR="31020C4F" w:rsidRPr="7148EB80">
              <w:rPr>
                <w:rFonts w:eastAsia="Arial" w:cs="Arial"/>
                <w:color w:val="000000" w:themeColor="text1"/>
                <w:sz w:val="20"/>
                <w:szCs w:val="20"/>
              </w:rPr>
              <w:t>%</w:t>
            </w:r>
            <w:r w:rsidR="3E959108" w:rsidRPr="7148EB80">
              <w:rPr>
                <w:rFonts w:eastAsia="Arial" w:cs="Arial"/>
                <w:color w:val="000000" w:themeColor="text1"/>
                <w:sz w:val="20"/>
                <w:szCs w:val="20"/>
              </w:rPr>
              <w:t xml:space="preserve"> </w:t>
            </w:r>
          </w:p>
        </w:tc>
        <w:tc>
          <w:tcPr>
            <w:tcW w:w="1350" w:type="dxa"/>
          </w:tcPr>
          <w:p w14:paraId="77C7ABC6" w14:textId="50D96127" w:rsidR="725DDF62" w:rsidRDefault="2146A3F0" w:rsidP="3F0C7B5E">
            <w:pPr>
              <w:spacing w:line="257" w:lineRule="auto"/>
              <w:jc w:val="right"/>
              <w:rPr>
                <w:rFonts w:eastAsia="Arial" w:cs="Arial"/>
                <w:color w:val="000000" w:themeColor="text1"/>
                <w:sz w:val="20"/>
                <w:szCs w:val="20"/>
              </w:rPr>
            </w:pPr>
            <w:r w:rsidRPr="3F0C7B5E">
              <w:rPr>
                <w:rFonts w:eastAsia="Arial" w:cs="Arial"/>
                <w:color w:val="000000" w:themeColor="text1"/>
                <w:sz w:val="20"/>
                <w:szCs w:val="20"/>
              </w:rPr>
              <w:t>n/a</w:t>
            </w:r>
          </w:p>
        </w:tc>
        <w:tc>
          <w:tcPr>
            <w:tcW w:w="690" w:type="dxa"/>
          </w:tcPr>
          <w:p w14:paraId="2A8A07EC" w14:textId="39E3A7D7" w:rsidR="725DDF62" w:rsidRDefault="2146A3F0" w:rsidP="3F0C7B5E">
            <w:pPr>
              <w:spacing w:line="257" w:lineRule="auto"/>
              <w:jc w:val="right"/>
              <w:rPr>
                <w:rFonts w:eastAsia="Arial" w:cs="Arial"/>
                <w:color w:val="000000" w:themeColor="text1"/>
                <w:sz w:val="20"/>
                <w:szCs w:val="20"/>
              </w:rPr>
            </w:pPr>
            <w:r w:rsidRPr="3F0C7B5E">
              <w:rPr>
                <w:rFonts w:eastAsia="Arial" w:cs="Arial"/>
                <w:color w:val="000000" w:themeColor="text1"/>
                <w:sz w:val="20"/>
                <w:szCs w:val="20"/>
              </w:rPr>
              <w:t>n/a</w:t>
            </w:r>
          </w:p>
        </w:tc>
        <w:tc>
          <w:tcPr>
            <w:tcW w:w="1335" w:type="dxa"/>
          </w:tcPr>
          <w:p w14:paraId="3D3216E5" w14:textId="7B5419DA" w:rsidR="725DDF62" w:rsidRDefault="2F63BCC3"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4E7B7AEC" w:rsidRPr="7148EB80">
              <w:rPr>
                <w:rFonts w:eastAsia="Arial" w:cs="Arial"/>
                <w:color w:val="000000" w:themeColor="text1"/>
                <w:sz w:val="20"/>
                <w:szCs w:val="20"/>
              </w:rPr>
              <w:t>22</w:t>
            </w:r>
            <w:r w:rsidR="3962346B" w:rsidRPr="7148EB80">
              <w:rPr>
                <w:rFonts w:eastAsia="Arial" w:cs="Arial"/>
                <w:color w:val="000000" w:themeColor="text1"/>
                <w:sz w:val="20"/>
                <w:szCs w:val="20"/>
              </w:rPr>
              <w:t>%</w:t>
            </w:r>
          </w:p>
        </w:tc>
        <w:tc>
          <w:tcPr>
            <w:tcW w:w="625" w:type="dxa"/>
          </w:tcPr>
          <w:p w14:paraId="17540F77" w14:textId="7C768C23" w:rsidR="725DDF62" w:rsidRDefault="3962346B" w:rsidP="7148EB80">
            <w:pPr>
              <w:spacing w:line="257" w:lineRule="auto"/>
              <w:jc w:val="right"/>
              <w:rPr>
                <w:rFonts w:eastAsia="Arial" w:cs="Arial"/>
                <w:color w:val="000000" w:themeColor="text1"/>
                <w:sz w:val="20"/>
                <w:szCs w:val="20"/>
              </w:rPr>
            </w:pPr>
            <w:r w:rsidRPr="7148EB80">
              <w:rPr>
                <w:rFonts w:eastAsia="Arial" w:cs="Arial"/>
                <w:color w:val="000000" w:themeColor="text1"/>
                <w:sz w:val="20"/>
                <w:szCs w:val="20"/>
              </w:rPr>
              <w:t>+</w:t>
            </w:r>
            <w:r w:rsidR="4E7B7AEC" w:rsidRPr="7148EB80">
              <w:rPr>
                <w:rFonts w:eastAsia="Arial" w:cs="Arial"/>
                <w:color w:val="000000" w:themeColor="text1"/>
                <w:sz w:val="20"/>
                <w:szCs w:val="20"/>
              </w:rPr>
              <w:t>12</w:t>
            </w:r>
            <w:r w:rsidR="1A980A14" w:rsidRPr="7148EB80">
              <w:rPr>
                <w:rFonts w:eastAsia="Arial" w:cs="Arial"/>
                <w:color w:val="000000" w:themeColor="text1"/>
                <w:sz w:val="20"/>
                <w:szCs w:val="20"/>
              </w:rPr>
              <w:t>%</w:t>
            </w:r>
          </w:p>
        </w:tc>
      </w:tr>
    </w:tbl>
    <w:p w14:paraId="745E9952" w14:textId="2FC57CA2" w:rsidR="00195E6C" w:rsidRPr="00194996" w:rsidRDefault="00195E6C" w:rsidP="4E3F9228">
      <w:pPr>
        <w:rPr>
          <w:color w:val="000000" w:themeColor="text1"/>
        </w:rPr>
      </w:pPr>
    </w:p>
    <w:p w14:paraId="6F74B5A0" w14:textId="74DC157A" w:rsidR="00195E6C" w:rsidRPr="00194996" w:rsidRDefault="6568DAF2" w:rsidP="00194996">
      <w:pPr>
        <w:pStyle w:val="ListParagraph"/>
      </w:pPr>
      <w:r>
        <w:lastRenderedPageBreak/>
        <w:t xml:space="preserve">However, overall </w:t>
      </w:r>
      <w:r w:rsidR="738889CF">
        <w:t xml:space="preserve">Stagecoach </w:t>
      </w:r>
      <w:r>
        <w:t>income for 2022-23 is down by 1</w:t>
      </w:r>
      <w:r w:rsidR="105E2D15">
        <w:t>5</w:t>
      </w:r>
      <w:r>
        <w:t>% compared to 2021-22.</w:t>
      </w:r>
    </w:p>
    <w:p w14:paraId="4143CF8A" w14:textId="09284DA5" w:rsidR="4B00A883" w:rsidRDefault="37DF34EC" w:rsidP="44FE2484">
      <w:pPr>
        <w:pStyle w:val="Heading2"/>
      </w:pPr>
      <w:r>
        <w:t>Overall conclusions drawn from trial to date</w:t>
      </w:r>
    </w:p>
    <w:p w14:paraId="12C7A813" w14:textId="2A775988" w:rsidR="7210D598" w:rsidRDefault="6292E126" w:rsidP="44FE2484">
      <w:pPr>
        <w:pStyle w:val="ListParagraph"/>
        <w:spacing w:line="259" w:lineRule="auto"/>
      </w:pPr>
      <w:r>
        <w:t xml:space="preserve">Consensus between councils and bus operators </w:t>
      </w:r>
      <w:r w:rsidR="2002CDD7">
        <w:t xml:space="preserve">is </w:t>
      </w:r>
      <w:r>
        <w:t xml:space="preserve">that the trial hasn’t worsened the situation and has in fact been a source of optimism with regards to utilisation and income. </w:t>
      </w:r>
      <w:r w:rsidR="3BA8C399">
        <w:t>Overall income is still down for all parties compared to the pre pandemic year of 2019-20 but this is more like</w:t>
      </w:r>
      <w:r w:rsidR="1DFD63E2">
        <w:t>l</w:t>
      </w:r>
      <w:r w:rsidR="3BA8C399">
        <w:t xml:space="preserve">y to be from changing patterns of working where many </w:t>
      </w:r>
      <w:r w:rsidR="6178EFF8">
        <w:t>organ</w:t>
      </w:r>
      <w:r w:rsidR="65193144">
        <w:t>i</w:t>
      </w:r>
      <w:r w:rsidR="6178EFF8">
        <w:t>sations continue to work from home</w:t>
      </w:r>
      <w:r w:rsidR="6394FC3F">
        <w:t xml:space="preserve"> on at least some days per week, impacting peak time commuter usage of the P&amp;R sites</w:t>
      </w:r>
      <w:r w:rsidR="6178EFF8">
        <w:t>.</w:t>
      </w:r>
      <w:r w:rsidR="095DAA1F">
        <w:t xml:space="preserve"> Feedback from bus operators indicates that t</w:t>
      </w:r>
      <w:r>
        <w:t xml:space="preserve">he </w:t>
      </w:r>
      <w:r w:rsidR="76653455">
        <w:t xml:space="preserve">post-pandemic </w:t>
      </w:r>
      <w:r>
        <w:t>recov</w:t>
      </w:r>
      <w:r w:rsidR="0514EF83">
        <w:t>er</w:t>
      </w:r>
      <w:r w:rsidR="28FF8691">
        <w:t>y</w:t>
      </w:r>
      <w:r w:rsidR="0514EF83">
        <w:t xml:space="preserve"> of P&amp;Rs in Oxford is better tha</w:t>
      </w:r>
      <w:r w:rsidR="5AB66B0B">
        <w:t>n</w:t>
      </w:r>
      <w:r w:rsidR="0514EF83">
        <w:t xml:space="preserve"> at other cities’ P&amp;Rs (e.g. </w:t>
      </w:r>
      <w:r w:rsidR="59F4AA87">
        <w:t xml:space="preserve">in Norwich some sites have never reopened), and the new joint ticketing approach is </w:t>
      </w:r>
      <w:r w:rsidR="4D39A0E1">
        <w:t>felt</w:t>
      </w:r>
      <w:r w:rsidR="59F4AA87">
        <w:t xml:space="preserve"> to be a contributing factor.</w:t>
      </w:r>
    </w:p>
    <w:p w14:paraId="0508CED0" w14:textId="55A41E53" w:rsidR="001719B0" w:rsidRDefault="0B3940B7" w:rsidP="007A3106">
      <w:pPr>
        <w:pStyle w:val="Heading1"/>
      </w:pPr>
      <w:r>
        <w:t>More detail on external factors which should be considered</w:t>
      </w:r>
    </w:p>
    <w:p w14:paraId="0C30ACCF" w14:textId="026B1375" w:rsidR="00194996" w:rsidRPr="00194996" w:rsidRDefault="560ED2DD" w:rsidP="00194996">
      <w:pPr>
        <w:pStyle w:val="bParagraphtext"/>
      </w:pPr>
      <w:r>
        <w:t xml:space="preserve">As summarised in paragraph 5, external factors are expected to </w:t>
      </w:r>
      <w:r w:rsidR="53C7C208">
        <w:t>evolve and</w:t>
      </w:r>
      <w:r>
        <w:t xml:space="preserve"> to continue to influence the performance of P&amp;Rs from both car parking and bus journey perspectives</w:t>
      </w:r>
      <w:r w:rsidR="53C7C208">
        <w:t xml:space="preserve"> over the coming months and years</w:t>
      </w:r>
      <w:r w:rsidR="434A6591">
        <w:t>. These i</w:t>
      </w:r>
      <w:r w:rsidR="73F50168">
        <w:t>nclud</w:t>
      </w:r>
      <w:r w:rsidR="123B1F14">
        <w:t>e:</w:t>
      </w:r>
      <w:r w:rsidR="73F50168">
        <w:t xml:space="preserve"> </w:t>
      </w:r>
      <w:r w:rsidR="0227BD45">
        <w:t xml:space="preserve">the Government’s capped </w:t>
      </w:r>
      <w:r w:rsidR="391C8F0C">
        <w:t xml:space="preserve">bus fares (£2 to date and then £2.50 from 1 November 2023); Westgate and wider city centre car park charges; hybrid working; Botley Road bridge closure; city centre developments; </w:t>
      </w:r>
      <w:r w:rsidR="3B22A5A9">
        <w:t xml:space="preserve">trial traffic filters; a fleet of electric buses; and customer service improvements at P&amp;Rs. These are outlined in more detail in </w:t>
      </w:r>
      <w:r w:rsidR="3B22A5A9" w:rsidRPr="0068119E">
        <w:t xml:space="preserve">Appendix </w:t>
      </w:r>
      <w:r w:rsidR="66340A93" w:rsidRPr="0068119E">
        <w:t>C</w:t>
      </w:r>
      <w:r w:rsidR="0B173003" w:rsidRPr="0068119E">
        <w:t xml:space="preserve"> part 1</w:t>
      </w:r>
      <w:r w:rsidR="66340A93">
        <w:t>.</w:t>
      </w:r>
    </w:p>
    <w:p w14:paraId="1EDC5896" w14:textId="6906502E" w:rsidR="009E6B4C" w:rsidRPr="00236FF7" w:rsidRDefault="17EF7006" w:rsidP="007A3106">
      <w:pPr>
        <w:pStyle w:val="Heading1"/>
      </w:pPr>
      <w:r>
        <w:t>Proposal</w:t>
      </w:r>
      <w:r w:rsidR="50B82389">
        <w:t>s under consideration and expected impact on utilisation</w:t>
      </w:r>
    </w:p>
    <w:p w14:paraId="7B23CB2E" w14:textId="2E3AA8AC" w:rsidR="299BCC2D" w:rsidRDefault="4A18DB11" w:rsidP="4E3F9228">
      <w:pPr>
        <w:pStyle w:val="Heading2"/>
      </w:pPr>
      <w:r>
        <w:t xml:space="preserve">Rationale for </w:t>
      </w:r>
      <w:r w:rsidR="45518813">
        <w:t xml:space="preserve">the </w:t>
      </w:r>
      <w:r w:rsidR="0BF1045C">
        <w:t xml:space="preserve">options being offered </w:t>
      </w:r>
      <w:r>
        <w:t>at this stage</w:t>
      </w:r>
    </w:p>
    <w:p w14:paraId="6C8A7FE6" w14:textId="7E7944A4" w:rsidR="299BCC2D" w:rsidRDefault="3CB8FB12" w:rsidP="03458BED">
      <w:pPr>
        <w:pStyle w:val="bParagraphtext"/>
        <w:spacing w:line="259" w:lineRule="auto"/>
      </w:pPr>
      <w:r>
        <w:t xml:space="preserve">The combined parking-and-bus ticket was agreed as part of </w:t>
      </w:r>
      <w:hyperlink r:id="rId13" w:history="1">
        <w:r w:rsidRPr="03458BED">
          <w:rPr>
            <w:rStyle w:val="Hyperlink"/>
          </w:rPr>
          <w:t xml:space="preserve">July 2022 </w:t>
        </w:r>
        <w:r w:rsidR="00651A22">
          <w:rPr>
            <w:rStyle w:val="Hyperlink"/>
          </w:rPr>
          <w:t>C</w:t>
        </w:r>
        <w:r w:rsidRPr="03458BED">
          <w:rPr>
            <w:rStyle w:val="Hyperlink"/>
          </w:rPr>
          <w:t>abinet decision</w:t>
        </w:r>
      </w:hyperlink>
      <w:r>
        <w:t xml:space="preserve"> and the evidence since the implementation started in October 2022 indicates no reason to revert from that, as long as an ongoing approach to pricing can be agreed. Therefore, all options presented only relate to the pricing level. </w:t>
      </w:r>
      <w:r w:rsidR="020DC7F0">
        <w:t>More detail on different tariffs in Option 1 versus 2</w:t>
      </w:r>
      <w:r w:rsidR="2E8F7C90">
        <w:t xml:space="preserve"> </w:t>
      </w:r>
      <w:r w:rsidR="020DC7F0">
        <w:t>&amp;</w:t>
      </w:r>
      <w:r w:rsidR="12DD5CD3">
        <w:t xml:space="preserve"> </w:t>
      </w:r>
      <w:r w:rsidR="020DC7F0">
        <w:t xml:space="preserve">3 in </w:t>
      </w:r>
      <w:r w:rsidR="020DC7F0" w:rsidRPr="0068119E">
        <w:t>Appendix C</w:t>
      </w:r>
      <w:r w:rsidR="736BAD4C" w:rsidRPr="0068119E">
        <w:t xml:space="preserve"> part 2</w:t>
      </w:r>
      <w:r w:rsidR="020DC7F0">
        <w:t>.</w:t>
      </w:r>
    </w:p>
    <w:p w14:paraId="40DC3918" w14:textId="1D614222" w:rsidR="001622EA" w:rsidRDefault="71C28EF2" w:rsidP="03458BED">
      <w:pPr>
        <w:pStyle w:val="Heading2"/>
      </w:pPr>
      <w:r>
        <w:t xml:space="preserve">Option 1 – </w:t>
      </w:r>
      <w:r w:rsidR="754FC4C7">
        <w:t>“do nothing”</w:t>
      </w:r>
      <w:r w:rsidR="470E4831">
        <w:t>, which assumes that the current price level is retained</w:t>
      </w:r>
      <w:r w:rsidR="1E413497">
        <w:t xml:space="preserve"> during the current financial year</w:t>
      </w:r>
      <w:r w:rsidR="1BBA0DDE">
        <w:t>.</w:t>
      </w:r>
    </w:p>
    <w:p w14:paraId="04E5A4FB" w14:textId="4D7CDDC3" w:rsidR="001622EA" w:rsidRDefault="56D708E5" w:rsidP="03458BED">
      <w:pPr>
        <w:pStyle w:val="bParagraphtext"/>
      </w:pPr>
      <w:r>
        <w:t>R</w:t>
      </w:r>
      <w:r w:rsidR="61F05B43">
        <w:t>eason</w:t>
      </w:r>
      <w:r>
        <w:t>s</w:t>
      </w:r>
      <w:r w:rsidR="03CCA8AC">
        <w:t xml:space="preserve"> to pursue this option</w:t>
      </w:r>
      <w:r>
        <w:t>:</w:t>
      </w:r>
      <w:r w:rsidR="074912C2">
        <w:t xml:space="preserve"> </w:t>
      </w:r>
    </w:p>
    <w:p w14:paraId="6CD99192" w14:textId="09C1B1FC" w:rsidR="001622EA" w:rsidRDefault="5E724BD2" w:rsidP="001622EA">
      <w:pPr>
        <w:pStyle w:val="bParagraphtext"/>
        <w:numPr>
          <w:ilvl w:val="1"/>
          <w:numId w:val="10"/>
        </w:numPr>
      </w:pPr>
      <w:r>
        <w:t>it allows time to consider the impact of the combined tickets</w:t>
      </w:r>
      <w:r w:rsidR="417F5DCD">
        <w:t xml:space="preserve"> and to have more clarity re</w:t>
      </w:r>
      <w:r w:rsidR="5BB81279">
        <w:t>garding</w:t>
      </w:r>
      <w:r w:rsidR="417F5DCD">
        <w:t xml:space="preserve"> the Government’s approach to maximum bus ticket prices</w:t>
      </w:r>
      <w:r>
        <w:t>, before making changes due to inflationary pressure or any other factor;</w:t>
      </w:r>
      <w:r w:rsidR="105F5AB5">
        <w:t xml:space="preserve"> and</w:t>
      </w:r>
    </w:p>
    <w:p w14:paraId="2075A4EB" w14:textId="2263A703" w:rsidR="001622EA" w:rsidRDefault="5E724BD2" w:rsidP="001622EA">
      <w:pPr>
        <w:pStyle w:val="bParagraphtext"/>
        <w:numPr>
          <w:ilvl w:val="1"/>
          <w:numId w:val="10"/>
        </w:numPr>
      </w:pPr>
      <w:r>
        <w:t>it brings the combined ticket charging approach into sync with the wider P&amp;R and car parking budget setting process, which begins in autumn each year</w:t>
      </w:r>
      <w:r w:rsidR="6E16C480">
        <w:t xml:space="preserve"> and sets changes for the start of the next financial year (April 2024 in this case)</w:t>
      </w:r>
      <w:r w:rsidR="105F5AB5">
        <w:t>.</w:t>
      </w:r>
    </w:p>
    <w:p w14:paraId="0A7D1C9B" w14:textId="609DAFFA" w:rsidR="1C2E3E46" w:rsidRDefault="0673F86A" w:rsidP="183746C7">
      <w:pPr>
        <w:pStyle w:val="bParagraphtext"/>
      </w:pPr>
      <w:r>
        <w:t>Reasons not to pursue this option:</w:t>
      </w:r>
    </w:p>
    <w:p w14:paraId="067D9BF1" w14:textId="0F6B459E" w:rsidR="1C425E8B" w:rsidRDefault="5E8896F0" w:rsidP="0F3A2DBF">
      <w:pPr>
        <w:pStyle w:val="bParagraphtext"/>
        <w:numPr>
          <w:ilvl w:val="1"/>
          <w:numId w:val="10"/>
        </w:numPr>
        <w:rPr>
          <w:color w:val="000000" w:themeColor="text1"/>
        </w:rPr>
      </w:pPr>
      <w:r w:rsidRPr="3F0C7B5E">
        <w:rPr>
          <w:color w:val="000000" w:themeColor="text1"/>
        </w:rPr>
        <w:t>it ignores the recent increase in car parking charges at Westgate (referenced in para 5);</w:t>
      </w:r>
    </w:p>
    <w:p w14:paraId="4CA11BE2" w14:textId="630A8A74" w:rsidR="43511466" w:rsidRDefault="3C998CE0" w:rsidP="183746C7">
      <w:pPr>
        <w:pStyle w:val="bParagraphtext"/>
        <w:numPr>
          <w:ilvl w:val="1"/>
          <w:numId w:val="10"/>
        </w:numPr>
        <w:rPr>
          <w:color w:val="000000" w:themeColor="text1"/>
        </w:rPr>
      </w:pPr>
      <w:r w:rsidRPr="3F0C7B5E">
        <w:rPr>
          <w:color w:val="000000" w:themeColor="text1"/>
        </w:rPr>
        <w:t xml:space="preserve">it risks undercutting the more sustainable bus-from-source option for customers with the Government cap expected to increase to £2.50 </w:t>
      </w:r>
      <w:r w:rsidR="3BA75097" w:rsidRPr="3F0C7B5E">
        <w:rPr>
          <w:color w:val="000000" w:themeColor="text1"/>
        </w:rPr>
        <w:t>per journey</w:t>
      </w:r>
      <w:r w:rsidRPr="3F0C7B5E">
        <w:rPr>
          <w:color w:val="000000" w:themeColor="text1"/>
        </w:rPr>
        <w:t xml:space="preserve">, which would have the perverse incentive of </w:t>
      </w:r>
      <w:r w:rsidR="1F6696D7" w:rsidRPr="3F0C7B5E">
        <w:rPr>
          <w:color w:val="000000" w:themeColor="text1"/>
        </w:rPr>
        <w:t xml:space="preserve">encouraging people to </w:t>
      </w:r>
      <w:r w:rsidR="1F6696D7" w:rsidRPr="3F0C7B5E">
        <w:rPr>
          <w:color w:val="000000" w:themeColor="text1"/>
        </w:rPr>
        <w:lastRenderedPageBreak/>
        <w:t xml:space="preserve">drive to the P&amp;Rs who would otherwise use the bus for the whole journey; </w:t>
      </w:r>
      <w:r w:rsidR="6F3A5AFA" w:rsidRPr="3F0C7B5E">
        <w:rPr>
          <w:color w:val="000000" w:themeColor="text1"/>
        </w:rPr>
        <w:t>and</w:t>
      </w:r>
    </w:p>
    <w:p w14:paraId="1484F4BE" w14:textId="5CFBAC0C" w:rsidR="227E292D" w:rsidRDefault="1F6696D7" w:rsidP="113995EC">
      <w:pPr>
        <w:pStyle w:val="bParagraphtext"/>
        <w:numPr>
          <w:ilvl w:val="1"/>
          <w:numId w:val="10"/>
        </w:numPr>
        <w:rPr>
          <w:color w:val="000000" w:themeColor="text1"/>
        </w:rPr>
      </w:pPr>
      <w:r w:rsidRPr="3F0C7B5E">
        <w:rPr>
          <w:color w:val="000000" w:themeColor="text1"/>
        </w:rPr>
        <w:t xml:space="preserve">it </w:t>
      </w:r>
      <w:r w:rsidR="00EC8B4F" w:rsidRPr="3F0C7B5E">
        <w:rPr>
          <w:color w:val="000000" w:themeColor="text1"/>
        </w:rPr>
        <w:t xml:space="preserve">could be </w:t>
      </w:r>
      <w:r w:rsidR="0F800FC0" w:rsidRPr="3F0C7B5E">
        <w:rPr>
          <w:color w:val="000000" w:themeColor="text1"/>
        </w:rPr>
        <w:t xml:space="preserve">perceived as </w:t>
      </w:r>
      <w:r w:rsidR="00EC8B4F" w:rsidRPr="3F0C7B5E">
        <w:rPr>
          <w:color w:val="000000" w:themeColor="text1"/>
        </w:rPr>
        <w:t xml:space="preserve">a commitment to an </w:t>
      </w:r>
      <w:r w:rsidRPr="3F0C7B5E">
        <w:rPr>
          <w:color w:val="000000" w:themeColor="text1"/>
        </w:rPr>
        <w:t>unaffordable price level for councils and bus operators, which doesn’t take into account the inflationary cost pressures faced in running P&amp;Rs and their bus services</w:t>
      </w:r>
      <w:r w:rsidR="3B1BB55B" w:rsidRPr="3F0C7B5E">
        <w:rPr>
          <w:color w:val="000000" w:themeColor="text1"/>
        </w:rPr>
        <w:t xml:space="preserve"> – with it being quite likely that the increase to £4.50 and £5.50 (option 2) would be required in April 2024.</w:t>
      </w:r>
    </w:p>
    <w:p w14:paraId="6359EE24" w14:textId="0DE4FE53" w:rsidR="0067049A" w:rsidRDefault="3FDB788E" w:rsidP="0067049A">
      <w:pPr>
        <w:pStyle w:val="bParagraphtext"/>
      </w:pPr>
      <w:r>
        <w:t xml:space="preserve">Assumed </w:t>
      </w:r>
      <w:r w:rsidR="56D708E5">
        <w:t>impact on utilisation:</w:t>
      </w:r>
    </w:p>
    <w:p w14:paraId="713AB93A" w14:textId="473118A3" w:rsidR="001622EA" w:rsidRDefault="4F95852E" w:rsidP="63F755EF">
      <w:pPr>
        <w:pStyle w:val="bParagraphtext"/>
        <w:numPr>
          <w:ilvl w:val="1"/>
          <w:numId w:val="10"/>
        </w:numPr>
      </w:pPr>
      <w:r>
        <w:t xml:space="preserve">Given </w:t>
      </w:r>
      <w:r w:rsidR="1266F30E">
        <w:t xml:space="preserve">the overall shift towards more </w:t>
      </w:r>
      <w:r>
        <w:t>positive external factors anticipated</w:t>
      </w:r>
      <w:r w:rsidR="70E66DC2">
        <w:t xml:space="preserve"> from autumn / winter 2023</w:t>
      </w:r>
      <w:r>
        <w:t xml:space="preserve">, the assumption would be that this option would result in current trends broadly </w:t>
      </w:r>
      <w:r w:rsidR="42A1C7BA" w:rsidRPr="0068119E">
        <w:t>improving</w:t>
      </w:r>
      <w:r>
        <w:t>, although sensitivity analysis is required</w:t>
      </w:r>
      <w:r w:rsidR="543E9B87">
        <w:t>.</w:t>
      </w:r>
    </w:p>
    <w:p w14:paraId="6E89A0BB" w14:textId="2266D75E" w:rsidR="00253E28" w:rsidRDefault="1B4FFFE1" w:rsidP="00253E28">
      <w:pPr>
        <w:pStyle w:val="Heading2"/>
      </w:pPr>
      <w:r>
        <w:t>Option 2 – “do something</w:t>
      </w:r>
      <w:r w:rsidR="2E3701BC">
        <w:t xml:space="preserve"> as soon as possible</w:t>
      </w:r>
      <w:r>
        <w:t xml:space="preserve">” i.e. increase </w:t>
      </w:r>
      <w:r w:rsidR="046D28B9">
        <w:t xml:space="preserve">combined ticket </w:t>
      </w:r>
      <w:r>
        <w:t xml:space="preserve">prices to £4.50 and £5.50 </w:t>
      </w:r>
      <w:r w:rsidR="7B2639D9">
        <w:t>i.e a 50p increase</w:t>
      </w:r>
      <w:r w:rsidR="60851936">
        <w:t xml:space="preserve"> (1</w:t>
      </w:r>
      <w:r w:rsidR="71735146">
        <w:t>2.5</w:t>
      </w:r>
      <w:r w:rsidR="60851936">
        <w:t>%</w:t>
      </w:r>
      <w:r w:rsidR="27652393">
        <w:t xml:space="preserve"> and 8% respectively</w:t>
      </w:r>
      <w:r w:rsidR="60851936">
        <w:t>)</w:t>
      </w:r>
      <w:r w:rsidR="7B2639D9">
        <w:t xml:space="preserve">, </w:t>
      </w:r>
      <w:r w:rsidR="483D164C">
        <w:t>to coincide with change in Government price cap,</w:t>
      </w:r>
      <w:r>
        <w:t xml:space="preserve"> and then fix prices until April 2025  </w:t>
      </w:r>
    </w:p>
    <w:p w14:paraId="30E82730" w14:textId="51AB488A" w:rsidR="00253E28" w:rsidRDefault="2C3AD4EF" w:rsidP="00253E28">
      <w:pPr>
        <w:pStyle w:val="bParagraphtext"/>
      </w:pPr>
      <w:r>
        <w:t>R</w:t>
      </w:r>
      <w:r w:rsidR="6C292B30">
        <w:t xml:space="preserve">easons to pursue </w:t>
      </w:r>
      <w:r>
        <w:t xml:space="preserve">this option: </w:t>
      </w:r>
    </w:p>
    <w:p w14:paraId="06504320" w14:textId="6F9D28FD" w:rsidR="00253E28" w:rsidRDefault="4F95852E" w:rsidP="00253E28">
      <w:pPr>
        <w:pStyle w:val="bParagraphtext"/>
        <w:numPr>
          <w:ilvl w:val="1"/>
          <w:numId w:val="10"/>
        </w:numPr>
      </w:pPr>
      <w:r>
        <w:t xml:space="preserve">it responds to the Government’s </w:t>
      </w:r>
      <w:r w:rsidR="1E0AE913">
        <w:t xml:space="preserve">50p </w:t>
      </w:r>
      <w:r>
        <w:t>increase in capped bus fares to £2.50 per journey</w:t>
      </w:r>
      <w:r w:rsidR="4553C7A8">
        <w:t>, to avoid under-cutting the more sustainable option of bus-from-source</w:t>
      </w:r>
      <w:r>
        <w:t xml:space="preserve">; </w:t>
      </w:r>
    </w:p>
    <w:p w14:paraId="20CD6C7F" w14:textId="34AA1155" w:rsidR="44DCEE5A" w:rsidRDefault="6DA39C40" w:rsidP="4E3F9228">
      <w:pPr>
        <w:pStyle w:val="bParagraphtext"/>
        <w:numPr>
          <w:ilvl w:val="1"/>
          <w:numId w:val="10"/>
        </w:numPr>
        <w:rPr>
          <w:color w:val="000000" w:themeColor="text1"/>
        </w:rPr>
      </w:pPr>
      <w:r w:rsidRPr="3F0C7B5E">
        <w:rPr>
          <w:color w:val="000000" w:themeColor="text1"/>
        </w:rPr>
        <w:t>it decreases the price difference between P&amp;R and regular bus services</w:t>
      </w:r>
      <w:r w:rsidR="1F8E2B70" w:rsidRPr="3F0C7B5E">
        <w:rPr>
          <w:color w:val="000000" w:themeColor="text1"/>
        </w:rPr>
        <w:t xml:space="preserve"> which are used by most Oxford residents;</w:t>
      </w:r>
    </w:p>
    <w:p w14:paraId="60F6F74B" w14:textId="37390C43" w:rsidR="0BA2235D" w:rsidRDefault="2324943F" w:rsidP="0F3A2DBF">
      <w:pPr>
        <w:pStyle w:val="bParagraphtext"/>
        <w:numPr>
          <w:ilvl w:val="1"/>
          <w:numId w:val="10"/>
        </w:numPr>
        <w:spacing w:line="259" w:lineRule="auto"/>
        <w:rPr>
          <w:color w:val="000000" w:themeColor="text1"/>
        </w:rPr>
      </w:pPr>
      <w:r w:rsidRPr="3F0C7B5E">
        <w:rPr>
          <w:color w:val="000000" w:themeColor="text1"/>
        </w:rPr>
        <w:t xml:space="preserve">it responds to the </w:t>
      </w:r>
      <w:r w:rsidR="2532DDE5" w:rsidRPr="3F0C7B5E">
        <w:rPr>
          <w:color w:val="000000" w:themeColor="text1"/>
        </w:rPr>
        <w:t>recent Westgate price increase;</w:t>
      </w:r>
    </w:p>
    <w:p w14:paraId="0EAC4510" w14:textId="3427A185" w:rsidR="0C5B2285" w:rsidRDefault="536D5849" w:rsidP="0F3A2DBF">
      <w:pPr>
        <w:pStyle w:val="bParagraphtext"/>
        <w:numPr>
          <w:ilvl w:val="1"/>
          <w:numId w:val="10"/>
        </w:numPr>
        <w:rPr>
          <w:color w:val="000000" w:themeColor="text1"/>
        </w:rPr>
      </w:pPr>
      <w:r w:rsidRPr="3F0C7B5E">
        <w:rPr>
          <w:color w:val="000000" w:themeColor="text1"/>
        </w:rPr>
        <w:t>i</w:t>
      </w:r>
      <w:r w:rsidR="18754CBA" w:rsidRPr="3F0C7B5E">
        <w:rPr>
          <w:color w:val="000000" w:themeColor="text1"/>
        </w:rPr>
        <w:t>t increases the relative incentive for people to car-share to the P&amp;Rs;</w:t>
      </w:r>
      <w:r w:rsidR="71818E67" w:rsidRPr="3F0C7B5E">
        <w:rPr>
          <w:color w:val="000000" w:themeColor="text1"/>
        </w:rPr>
        <w:t xml:space="preserve"> and</w:t>
      </w:r>
    </w:p>
    <w:p w14:paraId="4B3BFFB2" w14:textId="658EE141" w:rsidR="00253E28" w:rsidRDefault="04C5484D" w:rsidP="00253E28">
      <w:pPr>
        <w:pStyle w:val="bParagraphtext"/>
        <w:numPr>
          <w:ilvl w:val="1"/>
          <w:numId w:val="10"/>
        </w:numPr>
      </w:pPr>
      <w:r>
        <w:t>it goes further than Option 1 in terms of starting on a more sustainable position, so it will not need to be reviewed as quickly</w:t>
      </w:r>
      <w:r w:rsidR="4F95852E">
        <w:t>.</w:t>
      </w:r>
    </w:p>
    <w:p w14:paraId="301C6ED4" w14:textId="175202B0" w:rsidR="1091816E" w:rsidRDefault="722F8C98" w:rsidP="183746C7">
      <w:pPr>
        <w:pStyle w:val="bParagraphtext"/>
      </w:pPr>
      <w:r>
        <w:t>Reasons not to pursue this option:</w:t>
      </w:r>
    </w:p>
    <w:p w14:paraId="027DFE55" w14:textId="5557E818" w:rsidR="1AED330E" w:rsidRDefault="0D7F4E31" w:rsidP="0F3A2DBF">
      <w:pPr>
        <w:pStyle w:val="bParagraphtext"/>
        <w:numPr>
          <w:ilvl w:val="1"/>
          <w:numId w:val="10"/>
        </w:numPr>
        <w:rPr>
          <w:color w:val="000000" w:themeColor="text1"/>
        </w:rPr>
      </w:pPr>
      <w:r w:rsidRPr="3F0C7B5E">
        <w:rPr>
          <w:color w:val="000000" w:themeColor="text1"/>
        </w:rPr>
        <w:t xml:space="preserve">At time of writing, there remains uncertainty about </w:t>
      </w:r>
      <w:r w:rsidR="09AA377C" w:rsidRPr="3F0C7B5E">
        <w:rPr>
          <w:color w:val="000000" w:themeColor="text1"/>
        </w:rPr>
        <w:t xml:space="preserve">how </w:t>
      </w:r>
      <w:r w:rsidRPr="3F0C7B5E">
        <w:rPr>
          <w:color w:val="000000" w:themeColor="text1"/>
        </w:rPr>
        <w:t xml:space="preserve">the Government’s change in the price cap </w:t>
      </w:r>
      <w:r w:rsidR="6C8A6D84" w:rsidRPr="3F0C7B5E">
        <w:rPr>
          <w:color w:val="000000" w:themeColor="text1"/>
        </w:rPr>
        <w:t>will be applied locally by bus operators</w:t>
      </w:r>
      <w:r w:rsidR="4D7EA017" w:rsidRPr="3F0C7B5E">
        <w:rPr>
          <w:color w:val="000000" w:themeColor="text1"/>
        </w:rPr>
        <w:t xml:space="preserve">; </w:t>
      </w:r>
    </w:p>
    <w:p w14:paraId="4C1A6EB3" w14:textId="1BEE746A" w:rsidR="1AED330E" w:rsidRDefault="01213CA1" w:rsidP="0F3A2DBF">
      <w:pPr>
        <w:pStyle w:val="bParagraphtext"/>
        <w:numPr>
          <w:ilvl w:val="1"/>
          <w:numId w:val="10"/>
        </w:numPr>
        <w:rPr>
          <w:color w:val="000000" w:themeColor="text1"/>
        </w:rPr>
      </w:pPr>
      <w:r w:rsidRPr="3F0C7B5E">
        <w:rPr>
          <w:color w:val="000000" w:themeColor="text1"/>
        </w:rPr>
        <w:t xml:space="preserve">While collaboration with the County Council is ongoing, there is no ability for a City Council decision to bind the County Council, therefore there remains a risk of a disjointed approach to P&amp;R pricing; </w:t>
      </w:r>
      <w:r w:rsidR="1F0F6CD0" w:rsidRPr="3F0C7B5E">
        <w:rPr>
          <w:color w:val="000000" w:themeColor="text1"/>
        </w:rPr>
        <w:t>and</w:t>
      </w:r>
    </w:p>
    <w:p w14:paraId="6A0A119D" w14:textId="5B510067" w:rsidR="4CE509AB" w:rsidRDefault="1F0F6CD0" w:rsidP="0F3A2DBF">
      <w:pPr>
        <w:pStyle w:val="bParagraphtext"/>
        <w:numPr>
          <w:ilvl w:val="1"/>
          <w:numId w:val="10"/>
        </w:numPr>
        <w:rPr>
          <w:color w:val="000000" w:themeColor="text1"/>
        </w:rPr>
      </w:pPr>
      <w:r w:rsidRPr="3F0C7B5E">
        <w:rPr>
          <w:color w:val="000000" w:themeColor="text1"/>
        </w:rPr>
        <w:t xml:space="preserve">With Oxford’s transport network in general and the bus network in particular in a fragile situation, there is the risk that any increase in price at this stage will </w:t>
      </w:r>
      <w:r w:rsidR="57C1A777" w:rsidRPr="3F0C7B5E">
        <w:rPr>
          <w:color w:val="000000" w:themeColor="text1"/>
        </w:rPr>
        <w:t>incentivise people to return to private car use at a time where this will be particularly damaging to congestion levels.</w:t>
      </w:r>
    </w:p>
    <w:p w14:paraId="44F6FAF0" w14:textId="46EBC7CB" w:rsidR="039834BF" w:rsidRDefault="339034BE" w:rsidP="0F3A2DBF">
      <w:pPr>
        <w:pStyle w:val="bParagraphtext"/>
      </w:pPr>
      <w:r>
        <w:t xml:space="preserve">Practicalities of this </w:t>
      </w:r>
      <w:r w:rsidR="222D09C4">
        <w:t>option</w:t>
      </w:r>
      <w:r>
        <w:t>:</w:t>
      </w:r>
    </w:p>
    <w:p w14:paraId="760DD900" w14:textId="67FB4322" w:rsidR="039834BF" w:rsidRDefault="62E8D1B9" w:rsidP="0F3A2DBF">
      <w:pPr>
        <w:pStyle w:val="bParagraphtext"/>
        <w:numPr>
          <w:ilvl w:val="1"/>
          <w:numId w:val="10"/>
        </w:numPr>
        <w:rPr>
          <w:color w:val="000000" w:themeColor="text1"/>
        </w:rPr>
      </w:pPr>
      <w:r w:rsidRPr="3F0C7B5E">
        <w:rPr>
          <w:color w:val="000000" w:themeColor="text1"/>
        </w:rPr>
        <w:t>City would keep £1.35 of each £4.50 or £5.50 combined ticket</w:t>
      </w:r>
      <w:r w:rsidR="5627DA6E" w:rsidRPr="3F0C7B5E">
        <w:rPr>
          <w:color w:val="000000" w:themeColor="text1"/>
        </w:rPr>
        <w:t xml:space="preserve">, </w:t>
      </w:r>
      <w:r w:rsidRPr="3F0C7B5E">
        <w:rPr>
          <w:color w:val="000000" w:themeColor="text1"/>
        </w:rPr>
        <w:t xml:space="preserve">with the </w:t>
      </w:r>
      <w:r w:rsidR="5B9F6CDC" w:rsidRPr="3F0C7B5E">
        <w:rPr>
          <w:color w:val="000000" w:themeColor="text1"/>
        </w:rPr>
        <w:t xml:space="preserve">£3.15 and £4.15 passed to OBC for one or two passengers respectively. </w:t>
      </w:r>
      <w:r w:rsidR="477B7256" w:rsidRPr="3F0C7B5E">
        <w:rPr>
          <w:color w:val="000000" w:themeColor="text1"/>
        </w:rPr>
        <w:t xml:space="preserve">The net income increase for City would be 15p per joint ticket. </w:t>
      </w:r>
      <w:r w:rsidR="3B870904" w:rsidRPr="3F0C7B5E">
        <w:rPr>
          <w:color w:val="000000" w:themeColor="text1"/>
        </w:rPr>
        <w:t>(</w:t>
      </w:r>
      <w:r w:rsidR="33B95987" w:rsidRPr="3F0C7B5E">
        <w:rPr>
          <w:color w:val="000000" w:themeColor="text1"/>
        </w:rPr>
        <w:t>This retains the “30% of the one adult return fare” arrangement, which currently applies to the £4 and £5 combined tickets</w:t>
      </w:r>
      <w:r w:rsidR="7F5F7FF2" w:rsidRPr="3F0C7B5E">
        <w:rPr>
          <w:color w:val="000000" w:themeColor="text1"/>
        </w:rPr>
        <w:t xml:space="preserve"> – with £1.20 income collected by City.</w:t>
      </w:r>
      <w:r w:rsidR="0C22D8E8" w:rsidRPr="3F0C7B5E">
        <w:rPr>
          <w:color w:val="000000" w:themeColor="text1"/>
        </w:rPr>
        <w:t>)</w:t>
      </w:r>
      <w:r w:rsidR="60FA4496" w:rsidRPr="3F0C7B5E">
        <w:rPr>
          <w:color w:val="000000" w:themeColor="text1"/>
        </w:rPr>
        <w:t xml:space="preserve"> </w:t>
      </w:r>
    </w:p>
    <w:p w14:paraId="69322AB6" w14:textId="3FB27951" w:rsidR="4A16A661" w:rsidRDefault="6A44C132" w:rsidP="63F755EF">
      <w:pPr>
        <w:pStyle w:val="bParagraphtext"/>
        <w:numPr>
          <w:ilvl w:val="1"/>
          <w:numId w:val="10"/>
        </w:numPr>
        <w:rPr>
          <w:color w:val="000000" w:themeColor="text1"/>
        </w:rPr>
      </w:pPr>
      <w:r w:rsidRPr="3F0C7B5E">
        <w:rPr>
          <w:color w:val="000000" w:themeColor="text1"/>
        </w:rPr>
        <w:t>I</w:t>
      </w:r>
      <w:r w:rsidR="7F5F7FF2" w:rsidRPr="3F0C7B5E">
        <w:rPr>
          <w:color w:val="000000" w:themeColor="text1"/>
        </w:rPr>
        <w:t xml:space="preserve">n this option City would also apply the 15p increase </w:t>
      </w:r>
      <w:r w:rsidR="5F0ED4D6" w:rsidRPr="3F0C7B5E">
        <w:rPr>
          <w:color w:val="000000" w:themeColor="text1"/>
        </w:rPr>
        <w:t xml:space="preserve">(7.5%) </w:t>
      </w:r>
      <w:r w:rsidR="7F5F7FF2" w:rsidRPr="3F0C7B5E">
        <w:rPr>
          <w:color w:val="000000" w:themeColor="text1"/>
        </w:rPr>
        <w:t>in the previous bullet to the £2 1-16 hour tariff.</w:t>
      </w:r>
    </w:p>
    <w:p w14:paraId="3CE4FA22" w14:textId="375CBECC" w:rsidR="0068119E" w:rsidRDefault="0068119E">
      <w:pPr>
        <w:spacing w:after="0"/>
        <w:rPr>
          <w:color w:val="000000" w:themeColor="text1"/>
        </w:rPr>
      </w:pPr>
      <w:r>
        <w:rPr>
          <w:color w:val="000000" w:themeColor="text1"/>
        </w:rPr>
        <w:br w:type="page"/>
      </w:r>
    </w:p>
    <w:p w14:paraId="7C1066C8" w14:textId="77777777" w:rsidR="0068119E" w:rsidRDefault="0068119E" w:rsidP="0068119E">
      <w:pPr>
        <w:pStyle w:val="bParagraphtext"/>
        <w:numPr>
          <w:ilvl w:val="0"/>
          <w:numId w:val="0"/>
        </w:numPr>
        <w:ind w:left="1080"/>
        <w:rPr>
          <w:color w:val="000000" w:themeColor="text1"/>
        </w:rPr>
      </w:pPr>
    </w:p>
    <w:p w14:paraId="57CD1F03" w14:textId="6D8972AC" w:rsidR="00253E28" w:rsidRDefault="164B80A4" w:rsidP="00253E28">
      <w:pPr>
        <w:pStyle w:val="bParagraphtext"/>
      </w:pPr>
      <w:r>
        <w:t xml:space="preserve">Assumed </w:t>
      </w:r>
      <w:r w:rsidR="2C3AD4EF">
        <w:t>impact on utilisation:</w:t>
      </w:r>
    </w:p>
    <w:p w14:paraId="4FF94E6E" w14:textId="06743E2B" w:rsidR="57B7CB06" w:rsidRDefault="105EB7F1" w:rsidP="63F755EF">
      <w:pPr>
        <w:pStyle w:val="bParagraphtext"/>
        <w:numPr>
          <w:ilvl w:val="1"/>
          <w:numId w:val="10"/>
        </w:numPr>
      </w:pPr>
      <w:r>
        <w:t xml:space="preserve">Given the overall shift towards more positive external factors anticipated from autumn / winter 2023, the assumption would be that this option would result in current trends broadly </w:t>
      </w:r>
      <w:r w:rsidRPr="0068119E">
        <w:t>continuing</w:t>
      </w:r>
      <w:r>
        <w:t>, although sensitivity analysis is required</w:t>
      </w:r>
      <w:r w:rsidR="4F7E2566">
        <w:t>.</w:t>
      </w:r>
    </w:p>
    <w:p w14:paraId="6F5C0D3E" w14:textId="6DA85A1D" w:rsidR="0D6E188F" w:rsidRDefault="015BADC4" w:rsidP="7A0CB18B">
      <w:pPr>
        <w:pStyle w:val="Heading2"/>
      </w:pPr>
      <w:r w:rsidRPr="3F0C7B5E">
        <w:rPr>
          <w:color w:val="000000" w:themeColor="text1"/>
        </w:rPr>
        <w:t>Option 3 - “do something in April 2024</w:t>
      </w:r>
      <w:r w:rsidR="29E69352" w:rsidRPr="3F0C7B5E">
        <w:rPr>
          <w:color w:val="000000" w:themeColor="text1"/>
        </w:rPr>
        <w:t xml:space="preserve">” i.e. </w:t>
      </w:r>
      <w:r w:rsidR="1348EF0E">
        <w:t>increase combined ticket prices to £4.50 and £5.50 i.e a 50p increase (12.5% and 8% respectively)</w:t>
      </w:r>
      <w:r w:rsidR="6FF1E44F">
        <w:t xml:space="preserve"> for implementation in April 2024.</w:t>
      </w:r>
    </w:p>
    <w:p w14:paraId="2BC515C5" w14:textId="04837DF4" w:rsidR="06AC453F" w:rsidRDefault="17F7211C" w:rsidP="7A0CB18B">
      <w:pPr>
        <w:pStyle w:val="ListParagraph"/>
      </w:pPr>
      <w:r>
        <w:t xml:space="preserve">Reasons to pursue this option: </w:t>
      </w:r>
    </w:p>
    <w:p w14:paraId="73CF6FE2" w14:textId="7253E46D" w:rsidR="40AC1E24" w:rsidRDefault="1AA89AA9" w:rsidP="03458BED">
      <w:pPr>
        <w:pStyle w:val="bParagraphtext"/>
        <w:numPr>
          <w:ilvl w:val="1"/>
          <w:numId w:val="10"/>
        </w:numPr>
      </w:pPr>
      <w:r>
        <w:t>Albeit slower than in Option 2,</w:t>
      </w:r>
    </w:p>
    <w:p w14:paraId="3831FEFB" w14:textId="662D4A52" w:rsidR="06AC453F" w:rsidRDefault="17F7211C" w:rsidP="7A0CB18B">
      <w:pPr>
        <w:pStyle w:val="bParagraphtext"/>
        <w:numPr>
          <w:ilvl w:val="2"/>
          <w:numId w:val="10"/>
        </w:numPr>
      </w:pPr>
      <w:r>
        <w:t xml:space="preserve">it responds to the Government’s 50p increase in capped bus fares to £2.50 per journey, to avoid under-cutting the more sustainable option of bus-from-source; </w:t>
      </w:r>
    </w:p>
    <w:p w14:paraId="6885F965" w14:textId="15E863FD" w:rsidR="06AC453F" w:rsidRDefault="17F7211C" w:rsidP="7A0CB18B">
      <w:pPr>
        <w:pStyle w:val="bParagraphtext"/>
        <w:numPr>
          <w:ilvl w:val="2"/>
          <w:numId w:val="10"/>
        </w:numPr>
        <w:rPr>
          <w:color w:val="000000" w:themeColor="text1"/>
        </w:rPr>
      </w:pPr>
      <w:r w:rsidRPr="3F0C7B5E">
        <w:rPr>
          <w:color w:val="000000" w:themeColor="text1"/>
        </w:rPr>
        <w:t>it decreases the price difference between P&amp;R and regular bus services which are used by most Oxford residents;</w:t>
      </w:r>
    </w:p>
    <w:p w14:paraId="6E7A1FA0" w14:textId="37390C43" w:rsidR="06AC453F" w:rsidRDefault="17F7211C" w:rsidP="7A0CB18B">
      <w:pPr>
        <w:pStyle w:val="bParagraphtext"/>
        <w:numPr>
          <w:ilvl w:val="2"/>
          <w:numId w:val="10"/>
        </w:numPr>
        <w:spacing w:line="259" w:lineRule="auto"/>
        <w:rPr>
          <w:color w:val="000000" w:themeColor="text1"/>
        </w:rPr>
      </w:pPr>
      <w:r w:rsidRPr="3F0C7B5E">
        <w:rPr>
          <w:color w:val="000000" w:themeColor="text1"/>
        </w:rPr>
        <w:t>it responds to the recent Westgate price increase;</w:t>
      </w:r>
    </w:p>
    <w:p w14:paraId="3EF4D3F7" w14:textId="043E8C1E" w:rsidR="06AC453F" w:rsidRDefault="17F7211C" w:rsidP="7A0CB18B">
      <w:pPr>
        <w:pStyle w:val="bParagraphtext"/>
        <w:numPr>
          <w:ilvl w:val="2"/>
          <w:numId w:val="10"/>
        </w:numPr>
        <w:rPr>
          <w:color w:val="000000" w:themeColor="text1"/>
        </w:rPr>
      </w:pPr>
      <w:r w:rsidRPr="3F0C7B5E">
        <w:rPr>
          <w:color w:val="000000" w:themeColor="text1"/>
        </w:rPr>
        <w:t xml:space="preserve">it increases the relative incentive for people to car-share to the P&amp;Rs; </w:t>
      </w:r>
    </w:p>
    <w:p w14:paraId="1E163BCC" w14:textId="77FA0DA2" w:rsidR="583CDF8A" w:rsidRDefault="7C282CE4" w:rsidP="03458BED">
      <w:pPr>
        <w:pStyle w:val="bParagraphtext"/>
        <w:numPr>
          <w:ilvl w:val="1"/>
          <w:numId w:val="10"/>
        </w:numPr>
      </w:pPr>
      <w:r>
        <w:t>More than Option 2,</w:t>
      </w:r>
    </w:p>
    <w:p w14:paraId="11E2784B" w14:textId="38C87EC6" w:rsidR="06AC453F" w:rsidRDefault="17F7211C" w:rsidP="7A0CB18B">
      <w:pPr>
        <w:pStyle w:val="bParagraphtext"/>
        <w:numPr>
          <w:ilvl w:val="2"/>
          <w:numId w:val="10"/>
        </w:numPr>
      </w:pPr>
      <w:r>
        <w:t>it brings the combined ticket charging approach into synch with the wider P&amp;R and car parking budget setting process, which begins in autumn each year – and it goes further than Option 1 in terms of starting on a more sustainable position, so it will not need to be reviewed as quickly</w:t>
      </w:r>
      <w:r w:rsidR="79F1A653">
        <w:t>; and</w:t>
      </w:r>
    </w:p>
    <w:p w14:paraId="4ADE9C8B" w14:textId="4B495BB6" w:rsidR="05336798" w:rsidRDefault="79F1A653" w:rsidP="7A0CB18B">
      <w:pPr>
        <w:pStyle w:val="bParagraphtext"/>
        <w:numPr>
          <w:ilvl w:val="2"/>
          <w:numId w:val="10"/>
        </w:numPr>
        <w:rPr>
          <w:color w:val="000000" w:themeColor="text1"/>
        </w:rPr>
      </w:pPr>
      <w:r w:rsidRPr="3F0C7B5E">
        <w:rPr>
          <w:color w:val="000000" w:themeColor="text1"/>
        </w:rPr>
        <w:t>i</w:t>
      </w:r>
      <w:r w:rsidR="7F64DF5A" w:rsidRPr="3F0C7B5E">
        <w:rPr>
          <w:color w:val="000000" w:themeColor="text1"/>
        </w:rPr>
        <w:t>t</w:t>
      </w:r>
      <w:r w:rsidR="3DDC7F6D" w:rsidRPr="3F0C7B5E">
        <w:rPr>
          <w:color w:val="000000" w:themeColor="text1"/>
        </w:rPr>
        <w:t xml:space="preserve"> commits </w:t>
      </w:r>
      <w:r w:rsidR="7F64DF5A" w:rsidRPr="3F0C7B5E">
        <w:rPr>
          <w:color w:val="000000" w:themeColor="text1"/>
        </w:rPr>
        <w:t xml:space="preserve">to an increase while decreasing the risk of turning off customers as it gives people </w:t>
      </w:r>
      <w:r w:rsidR="620F0EEE" w:rsidRPr="3F0C7B5E">
        <w:rPr>
          <w:color w:val="000000" w:themeColor="text1"/>
        </w:rPr>
        <w:t>more time to prepare for the change</w:t>
      </w:r>
      <w:r w:rsidR="0DD0B1B0" w:rsidRPr="3F0C7B5E">
        <w:rPr>
          <w:color w:val="000000" w:themeColor="text1"/>
        </w:rPr>
        <w:t>.</w:t>
      </w:r>
    </w:p>
    <w:p w14:paraId="2E1234A9" w14:textId="7A4D7E44" w:rsidR="7CC7F6BC" w:rsidRDefault="248CCA40" w:rsidP="7A0CB18B">
      <w:pPr>
        <w:pStyle w:val="ListParagraph"/>
        <w:rPr>
          <w:color w:val="000000" w:themeColor="text1"/>
        </w:rPr>
      </w:pPr>
      <w:r>
        <w:t>Reasons not to pursue this option:</w:t>
      </w:r>
    </w:p>
    <w:p w14:paraId="01CBCFC9" w14:textId="1BEE746A" w:rsidR="7CC7F6BC" w:rsidRDefault="248CCA40" w:rsidP="03458BED">
      <w:pPr>
        <w:pStyle w:val="bParagraphtext"/>
        <w:numPr>
          <w:ilvl w:val="1"/>
          <w:numId w:val="10"/>
        </w:numPr>
        <w:rPr>
          <w:color w:val="000000" w:themeColor="text1"/>
        </w:rPr>
      </w:pPr>
      <w:r w:rsidRPr="3F0C7B5E">
        <w:rPr>
          <w:color w:val="000000" w:themeColor="text1"/>
        </w:rPr>
        <w:t>While collaboration with the County Council is ongoing, there is no ability for a City Council decision to bind the County Council, therefore there remains a risk of a disjointed approach to P&amp;R pricing; and</w:t>
      </w:r>
    </w:p>
    <w:p w14:paraId="40F601E6" w14:textId="1482EE9F" w:rsidR="4CF00F8D" w:rsidRDefault="17E2BB34" w:rsidP="03458BED">
      <w:pPr>
        <w:pStyle w:val="bParagraphtext"/>
        <w:numPr>
          <w:ilvl w:val="1"/>
          <w:numId w:val="10"/>
        </w:numPr>
        <w:rPr>
          <w:color w:val="000000" w:themeColor="text1"/>
        </w:rPr>
      </w:pPr>
      <w:r w:rsidRPr="3F0C7B5E">
        <w:rPr>
          <w:color w:val="000000" w:themeColor="text1"/>
        </w:rPr>
        <w:t xml:space="preserve">There will be several months where P&amp;R </w:t>
      </w:r>
      <w:r w:rsidR="2DA799C2" w:rsidRPr="3F0C7B5E">
        <w:rPr>
          <w:color w:val="000000" w:themeColor="text1"/>
        </w:rPr>
        <w:t xml:space="preserve">will </w:t>
      </w:r>
      <w:r w:rsidRPr="3F0C7B5E">
        <w:rPr>
          <w:color w:val="000000" w:themeColor="text1"/>
        </w:rPr>
        <w:t xml:space="preserve">potentially undercut bus from source and </w:t>
      </w:r>
      <w:r w:rsidR="5F63DC95" w:rsidRPr="3F0C7B5E">
        <w:rPr>
          <w:color w:val="000000" w:themeColor="text1"/>
        </w:rPr>
        <w:t>resisting other financial pressures to increase prices.</w:t>
      </w:r>
    </w:p>
    <w:p w14:paraId="1ACA5BCC" w14:textId="42657D69" w:rsidR="166DF2D5" w:rsidRDefault="5263E476" w:rsidP="7A0CB18B">
      <w:pPr>
        <w:pStyle w:val="ListParagraph"/>
        <w:rPr>
          <w:color w:val="000000" w:themeColor="text1"/>
        </w:rPr>
      </w:pPr>
      <w:r>
        <w:t>Practicalities of this option:</w:t>
      </w:r>
    </w:p>
    <w:p w14:paraId="3DC2162A" w14:textId="28091575" w:rsidR="56189117" w:rsidRDefault="5263E476" w:rsidP="03458BED">
      <w:pPr>
        <w:pStyle w:val="bParagraphtext"/>
        <w:numPr>
          <w:ilvl w:val="1"/>
          <w:numId w:val="10"/>
        </w:numPr>
        <w:rPr>
          <w:color w:val="000000" w:themeColor="text1"/>
        </w:rPr>
      </w:pPr>
      <w:r w:rsidRPr="3F0C7B5E">
        <w:rPr>
          <w:color w:val="000000" w:themeColor="text1"/>
        </w:rPr>
        <w:t xml:space="preserve">City would keep £1.35 of each £4.50 or £5.50 combined ticket (with the £3.15 and £4.15 passed to OBC for one or two passengers respectively). The net income increase for City would be 15p per joint ticket. This retains the “30% of the one adult return fare” arrangement, which currently applies to the £4 and £5 combined tickets – with £1.20 income collected by City. </w:t>
      </w:r>
    </w:p>
    <w:p w14:paraId="72C907A1" w14:textId="29DD30E3" w:rsidR="166DF2D5" w:rsidRDefault="5263E476" w:rsidP="03458BED">
      <w:pPr>
        <w:pStyle w:val="bParagraphtext"/>
        <w:numPr>
          <w:ilvl w:val="1"/>
          <w:numId w:val="10"/>
        </w:numPr>
        <w:rPr>
          <w:color w:val="000000" w:themeColor="text1"/>
        </w:rPr>
      </w:pPr>
      <w:r w:rsidRPr="3F0C7B5E">
        <w:rPr>
          <w:color w:val="000000" w:themeColor="text1"/>
        </w:rPr>
        <w:t>In this option City would also apply the 15p increase (7.5%) in the previous bullet to the £2 1-16 hour tariff.</w:t>
      </w:r>
    </w:p>
    <w:p w14:paraId="325607F8" w14:textId="62D72BF1" w:rsidR="166DF2D5" w:rsidRDefault="5263E476" w:rsidP="7A0CB18B">
      <w:pPr>
        <w:pStyle w:val="ListParagraph"/>
        <w:rPr>
          <w:color w:val="000000" w:themeColor="text1"/>
        </w:rPr>
      </w:pPr>
      <w:r>
        <w:t>Assumed impact on utilisation:</w:t>
      </w:r>
    </w:p>
    <w:p w14:paraId="46669A50" w14:textId="06743E2B" w:rsidR="166DF2D5" w:rsidRDefault="5263E476" w:rsidP="03458BED">
      <w:pPr>
        <w:pStyle w:val="bParagraphtext"/>
        <w:numPr>
          <w:ilvl w:val="1"/>
          <w:numId w:val="10"/>
        </w:numPr>
      </w:pPr>
      <w:r>
        <w:t xml:space="preserve">Given the overall shift towards more positive external factors anticipated from autumn / winter 2023, the assumption would be that this option would result in current trends broadly </w:t>
      </w:r>
      <w:r w:rsidRPr="0068119E">
        <w:t>continuing</w:t>
      </w:r>
      <w:r>
        <w:t>, although sensitivity analysis is required.</w:t>
      </w:r>
    </w:p>
    <w:p w14:paraId="60B0B35C" w14:textId="7BC856F0" w:rsidR="7A0CB18B" w:rsidRDefault="7A0CB18B" w:rsidP="7A0CB18B">
      <w:pPr>
        <w:rPr>
          <w:color w:val="000000" w:themeColor="text1"/>
        </w:rPr>
      </w:pPr>
    </w:p>
    <w:p w14:paraId="316AF703" w14:textId="48A6B85C" w:rsidR="3B640F97" w:rsidRDefault="4FA37C1B" w:rsidP="24AC2421">
      <w:pPr>
        <w:pStyle w:val="Heading2"/>
        <w:spacing w:line="259" w:lineRule="auto"/>
      </w:pPr>
      <w:r>
        <w:t>Recommended option</w:t>
      </w:r>
    </w:p>
    <w:p w14:paraId="05BC4BBD" w14:textId="44C23D2D" w:rsidR="3B640F97" w:rsidRDefault="4FA37C1B" w:rsidP="63F755EF">
      <w:pPr>
        <w:pStyle w:val="bParagraphtext"/>
        <w:rPr>
          <w:color w:val="000000" w:themeColor="text1"/>
        </w:rPr>
      </w:pPr>
      <w:r w:rsidRPr="3F0C7B5E">
        <w:rPr>
          <w:color w:val="000000" w:themeColor="text1"/>
        </w:rPr>
        <w:t xml:space="preserve">Option </w:t>
      </w:r>
      <w:r w:rsidR="14ACE18E" w:rsidRPr="3F0C7B5E">
        <w:rPr>
          <w:color w:val="000000" w:themeColor="text1"/>
        </w:rPr>
        <w:t>1</w:t>
      </w:r>
      <w:r w:rsidRPr="3F0C7B5E">
        <w:rPr>
          <w:color w:val="000000" w:themeColor="text1"/>
        </w:rPr>
        <w:t xml:space="preserve"> is therefore recommended </w:t>
      </w:r>
      <w:r w:rsidR="0A0DCB2B" w:rsidRPr="3F0C7B5E">
        <w:rPr>
          <w:color w:val="000000" w:themeColor="text1"/>
        </w:rPr>
        <w:t xml:space="preserve">taking into account </w:t>
      </w:r>
      <w:r w:rsidR="09405977" w:rsidRPr="3F0C7B5E">
        <w:rPr>
          <w:color w:val="000000" w:themeColor="text1"/>
        </w:rPr>
        <w:t xml:space="preserve">policy </w:t>
      </w:r>
      <w:r w:rsidRPr="3F0C7B5E">
        <w:rPr>
          <w:color w:val="000000" w:themeColor="text1"/>
        </w:rPr>
        <w:t>rationale</w:t>
      </w:r>
      <w:r w:rsidR="47E30EA4" w:rsidRPr="3F0C7B5E">
        <w:rPr>
          <w:color w:val="000000" w:themeColor="text1"/>
        </w:rPr>
        <w:t xml:space="preserve">, </w:t>
      </w:r>
      <w:r w:rsidRPr="3F0C7B5E">
        <w:rPr>
          <w:color w:val="000000" w:themeColor="text1"/>
        </w:rPr>
        <w:t xml:space="preserve">expected </w:t>
      </w:r>
      <w:r w:rsidR="69B45ACB" w:rsidRPr="3F0C7B5E">
        <w:rPr>
          <w:color w:val="000000" w:themeColor="text1"/>
        </w:rPr>
        <w:t xml:space="preserve">impact on </w:t>
      </w:r>
      <w:r w:rsidRPr="3F0C7B5E">
        <w:rPr>
          <w:color w:val="000000" w:themeColor="text1"/>
        </w:rPr>
        <w:t>utilisation</w:t>
      </w:r>
      <w:r w:rsidR="262829EA" w:rsidRPr="3F0C7B5E">
        <w:rPr>
          <w:color w:val="000000" w:themeColor="text1"/>
        </w:rPr>
        <w:t xml:space="preserve"> and the importance of creating as much time as possible for the City and County councils to arrive at a synchronised approach to joint ticketing.</w:t>
      </w:r>
    </w:p>
    <w:p w14:paraId="3C9207F6" w14:textId="204B1D4C" w:rsidR="00751EA3" w:rsidRPr="005955C2" w:rsidRDefault="6407226B" w:rsidP="44FE2484">
      <w:pPr>
        <w:pStyle w:val="Heading1"/>
        <w:rPr>
          <w:rStyle w:val="Firstpagetablebold"/>
          <w:b/>
          <w:bCs/>
        </w:rPr>
      </w:pPr>
      <w:r w:rsidRPr="3F0C7B5E">
        <w:rPr>
          <w:rStyle w:val="Firstpagetablebold"/>
          <w:b/>
          <w:bCs/>
        </w:rPr>
        <w:t>Financial Implications</w:t>
      </w:r>
      <w:r w:rsidR="6F6B3AB7" w:rsidRPr="3F0C7B5E">
        <w:rPr>
          <w:rStyle w:val="Firstpagetablebold"/>
          <w:b/>
          <w:bCs/>
        </w:rPr>
        <w:t xml:space="preserve"> </w:t>
      </w:r>
    </w:p>
    <w:p w14:paraId="2A94CCCF" w14:textId="77777777" w:rsidR="00B11154" w:rsidRPr="00151F38" w:rsidRDefault="25D35DF2" w:rsidP="005955C2">
      <w:pPr>
        <w:pStyle w:val="Heading2"/>
      </w:pPr>
      <w:r>
        <w:t>Financial Implication of options considered</w:t>
      </w:r>
    </w:p>
    <w:p w14:paraId="01767427" w14:textId="3BF9750F" w:rsidR="5CB2BD8D" w:rsidRDefault="474A7F61" w:rsidP="50433D2F">
      <w:pPr>
        <w:pStyle w:val="ListParagraph"/>
      </w:pPr>
      <w:r>
        <w:t>As per paragraph 11</w:t>
      </w:r>
      <w:r w:rsidR="377B0823">
        <w:t xml:space="preserve">, </w:t>
      </w:r>
      <w:r w:rsidRPr="0068119E">
        <w:t>Appendix A</w:t>
      </w:r>
      <w:r w:rsidR="073CCD35" w:rsidRPr="3F0C7B5E">
        <w:rPr>
          <w:b/>
          <w:bCs/>
        </w:rPr>
        <w:t xml:space="preserve"> </w:t>
      </w:r>
      <w:r w:rsidR="073CCD35">
        <w:t>and paragraph 5</w:t>
      </w:r>
      <w:r>
        <w:t xml:space="preserve">, the combined parking-and-bus ticket at the current price point is part </w:t>
      </w:r>
      <w:r w:rsidR="25B67376">
        <w:t>of the wider story of City's P&amp;R sites trending positively in terms of income for the council. For the first nine months since the ticketing change (Oct 2022 to June 2023), the income to the council is 7%</w:t>
      </w:r>
      <w:r w:rsidR="5BE40BF4">
        <w:t xml:space="preserve"> higher than in the comparable period Oct 2021 to June 2022. </w:t>
      </w:r>
    </w:p>
    <w:p w14:paraId="7993C376" w14:textId="670E2A73" w:rsidR="5CB2BD8D" w:rsidRDefault="5BE40BF4" w:rsidP="50433D2F">
      <w:pPr>
        <w:pStyle w:val="ListParagraph"/>
      </w:pPr>
      <w:r>
        <w:t>All options in this paper retain joint ticketing, present</w:t>
      </w:r>
      <w:r w:rsidR="7D20963F">
        <w:t>ing different scenarios regarding the price.</w:t>
      </w:r>
      <w:r w:rsidR="3A2C1215">
        <w:t xml:space="preserve"> As stated in paras 24, 28 and 32, </w:t>
      </w:r>
      <w:r w:rsidR="6B2EBFC0">
        <w:t xml:space="preserve">the officer assessment is that there is confidence in broadly positive financial outcomes from each option, but </w:t>
      </w:r>
      <w:r w:rsidR="3A2C1215">
        <w:t>sensitivity analysis is re</w:t>
      </w:r>
      <w:r w:rsidR="23980CC5">
        <w:t>quired in order to understand the plausible range of financial out</w:t>
      </w:r>
      <w:r w:rsidR="6DD84D92">
        <w:t>turns</w:t>
      </w:r>
      <w:r w:rsidR="23980CC5">
        <w:t>. This analysis will most usefully be under</w:t>
      </w:r>
      <w:r w:rsidR="2F1D8880">
        <w:t xml:space="preserve">taken as part of the 2024-25 financial year budget-setting process, which will be informed by twelve months of combined ticketing data and increased confidence of a joint approach between City and County councils. </w:t>
      </w:r>
    </w:p>
    <w:p w14:paraId="3D02EB21" w14:textId="0AC20EC2" w:rsidR="5CB2BD8D" w:rsidRDefault="3FCA865B" w:rsidP="50433D2F">
      <w:pPr>
        <w:pStyle w:val="ListParagraph"/>
      </w:pPr>
      <w:r>
        <w:t>On a purely financial basis</w:t>
      </w:r>
      <w:r w:rsidR="18E79A15">
        <w:t>, however</w:t>
      </w:r>
      <w:r>
        <w:t xml:space="preserve">, it could be expected that Option 2 would be most beneficial to the Council, followed by Option 3 and then Option 1, because the latter option does not commit to any price change. Nevertheless, optimism around income in options 2 and 3 </w:t>
      </w:r>
      <w:r w:rsidR="2604DCDF">
        <w:t>c</w:t>
      </w:r>
      <w:r>
        <w:t>ould be undermined if it transpires that County does not follow suit with the same price change as City</w:t>
      </w:r>
      <w:r w:rsidR="68F72B65">
        <w:t xml:space="preserve">. The financial implications of a disjointed approach to P&amp;R across Oxford would </w:t>
      </w:r>
      <w:r w:rsidR="56C2FB13">
        <w:t>require</w:t>
      </w:r>
      <w:r w:rsidR="68F72B65">
        <w:t xml:space="preserve"> </w:t>
      </w:r>
      <w:r w:rsidR="56C2FB13">
        <w:t xml:space="preserve">a bespoke </w:t>
      </w:r>
      <w:r w:rsidR="68F72B65">
        <w:t>model</w:t>
      </w:r>
      <w:r w:rsidR="1DC2ED6F">
        <w:t xml:space="preserve"> as part of the 2024-25 budget-setting process.</w:t>
      </w:r>
      <w:r w:rsidR="656C6367">
        <w:t xml:space="preserve"> </w:t>
      </w:r>
    </w:p>
    <w:p w14:paraId="09B61D69" w14:textId="358FFF4D" w:rsidR="6B89E2A5" w:rsidRDefault="2DB65754" w:rsidP="50433D2F">
      <w:pPr>
        <w:pStyle w:val="ListParagraph"/>
        <w:spacing w:line="259" w:lineRule="auto"/>
        <w:rPr>
          <w:rFonts w:cs="Arial"/>
          <w:color w:val="000000" w:themeColor="text1"/>
        </w:rPr>
      </w:pPr>
      <w:r w:rsidRPr="3F0C7B5E">
        <w:rPr>
          <w:rFonts w:cs="Arial"/>
          <w:color w:val="000000" w:themeColor="text1"/>
        </w:rPr>
        <w:t xml:space="preserve">Should the recommendation to </w:t>
      </w:r>
      <w:r w:rsidR="0F2C8F47" w:rsidRPr="3F0C7B5E">
        <w:rPr>
          <w:rFonts w:cs="Arial"/>
          <w:color w:val="000000" w:themeColor="text1"/>
        </w:rPr>
        <w:t>pursue Option 1 (</w:t>
      </w:r>
      <w:r w:rsidRPr="3F0C7B5E">
        <w:rPr>
          <w:rFonts w:cs="Arial"/>
          <w:color w:val="000000" w:themeColor="text1"/>
        </w:rPr>
        <w:t xml:space="preserve">no change </w:t>
      </w:r>
      <w:r w:rsidR="677CC4BE" w:rsidRPr="3F0C7B5E">
        <w:rPr>
          <w:rFonts w:cs="Arial"/>
          <w:color w:val="000000" w:themeColor="text1"/>
        </w:rPr>
        <w:t xml:space="preserve">to the </w:t>
      </w:r>
      <w:r w:rsidRPr="3F0C7B5E">
        <w:rPr>
          <w:rFonts w:cs="Arial"/>
          <w:color w:val="000000" w:themeColor="text1"/>
        </w:rPr>
        <w:t xml:space="preserve">pricing structure for Park and Ride services </w:t>
      </w:r>
      <w:r w:rsidR="5E7B3F25" w:rsidRPr="3F0C7B5E">
        <w:rPr>
          <w:rFonts w:cs="Arial"/>
          <w:color w:val="000000" w:themeColor="text1"/>
        </w:rPr>
        <w:t xml:space="preserve">during the current financial year) </w:t>
      </w:r>
      <w:r w:rsidRPr="3F0C7B5E">
        <w:rPr>
          <w:rFonts w:cs="Arial"/>
          <w:color w:val="000000" w:themeColor="text1"/>
        </w:rPr>
        <w:t>be confirmed</w:t>
      </w:r>
      <w:r w:rsidR="01966801" w:rsidRPr="3F0C7B5E">
        <w:rPr>
          <w:rFonts w:cs="Arial"/>
          <w:color w:val="000000" w:themeColor="text1"/>
        </w:rPr>
        <w:t>,</w:t>
      </w:r>
      <w:r w:rsidRPr="3F0C7B5E">
        <w:rPr>
          <w:rFonts w:cs="Arial"/>
          <w:color w:val="000000" w:themeColor="text1"/>
        </w:rPr>
        <w:t xml:space="preserve"> members will want to be in dis</w:t>
      </w:r>
      <w:r w:rsidR="17E0DCBC" w:rsidRPr="3F0C7B5E">
        <w:rPr>
          <w:rFonts w:cs="Arial"/>
          <w:color w:val="000000" w:themeColor="text1"/>
        </w:rPr>
        <w:t>cussion with the County Council and bus companies for bus fares and indeed car parking</w:t>
      </w:r>
      <w:r w:rsidR="0F6B58BB" w:rsidRPr="3F0C7B5E">
        <w:rPr>
          <w:rFonts w:cs="Arial"/>
          <w:color w:val="000000" w:themeColor="text1"/>
        </w:rPr>
        <w:t xml:space="preserve"> charges</w:t>
      </w:r>
      <w:r w:rsidR="17E0DCBC" w:rsidRPr="3F0C7B5E">
        <w:rPr>
          <w:rFonts w:cs="Arial"/>
          <w:color w:val="000000" w:themeColor="text1"/>
        </w:rPr>
        <w:t xml:space="preserve"> during the Medium Term Financial Plan review</w:t>
      </w:r>
      <w:r w:rsidR="019E9F16" w:rsidRPr="3F0C7B5E">
        <w:rPr>
          <w:rFonts w:cs="Arial"/>
          <w:color w:val="000000" w:themeColor="text1"/>
        </w:rPr>
        <w:t xml:space="preserve"> which is currently in progress.</w:t>
      </w:r>
    </w:p>
    <w:p w14:paraId="180A4EEB" w14:textId="7E8DEDDF" w:rsidR="12AC0370" w:rsidRDefault="0650ECC6" w:rsidP="50433D2F">
      <w:pPr>
        <w:pStyle w:val="ListParagraph"/>
        <w:spacing w:line="259" w:lineRule="auto"/>
        <w:rPr>
          <w:rFonts w:cs="Arial"/>
          <w:color w:val="000000" w:themeColor="text1"/>
        </w:rPr>
      </w:pPr>
      <w:r w:rsidRPr="3F0C7B5E">
        <w:rPr>
          <w:rFonts w:cs="Arial"/>
          <w:color w:val="000000" w:themeColor="text1"/>
        </w:rPr>
        <w:t>Whichever option is pursued, it is recommended that a process for twice-yearly open book reviews is sustained with County, OBC and Stagecoach to monitor the impact on utilisation and income for all parties.</w:t>
      </w:r>
    </w:p>
    <w:p w14:paraId="70115BF6" w14:textId="730FA5E9" w:rsidR="00F26E21" w:rsidRPr="00C40A87" w:rsidRDefault="463DCBEF" w:rsidP="3F0C7B5E">
      <w:pPr>
        <w:pStyle w:val="Heading1"/>
        <w:rPr>
          <w:rStyle w:val="Firstpagetablebold"/>
          <w:b/>
          <w:bCs/>
        </w:rPr>
      </w:pPr>
      <w:r w:rsidRPr="3F0C7B5E">
        <w:rPr>
          <w:rStyle w:val="Firstpagetablebold"/>
          <w:b/>
          <w:bCs/>
        </w:rPr>
        <w:t>Legal Implications</w:t>
      </w:r>
    </w:p>
    <w:p w14:paraId="4649528D" w14:textId="6E22408F" w:rsidR="540D26C9" w:rsidRDefault="39789F1F" w:rsidP="63F755EF">
      <w:pPr>
        <w:pStyle w:val="ListParagraph"/>
        <w:rPr>
          <w:color w:val="auto"/>
        </w:rPr>
      </w:pPr>
      <w:r w:rsidRPr="3F0C7B5E">
        <w:rPr>
          <w:color w:val="auto"/>
        </w:rPr>
        <w:t xml:space="preserve">Cabinet </w:t>
      </w:r>
      <w:r w:rsidR="40323886" w:rsidRPr="3F0C7B5E">
        <w:rPr>
          <w:color w:val="auto"/>
        </w:rPr>
        <w:t xml:space="preserve">is </w:t>
      </w:r>
      <w:r w:rsidR="6D20C523" w:rsidRPr="3F0C7B5E">
        <w:rPr>
          <w:color w:val="auto"/>
        </w:rPr>
        <w:t xml:space="preserve">advised </w:t>
      </w:r>
      <w:r w:rsidR="0BEAC1E4" w:rsidRPr="3F0C7B5E">
        <w:rPr>
          <w:color w:val="auto"/>
        </w:rPr>
        <w:t xml:space="preserve">to make </w:t>
      </w:r>
      <w:r w:rsidRPr="3F0C7B5E">
        <w:rPr>
          <w:color w:val="auto"/>
        </w:rPr>
        <w:t>recommendation</w:t>
      </w:r>
      <w:r w:rsidR="288BE664" w:rsidRPr="3F0C7B5E">
        <w:rPr>
          <w:color w:val="auto"/>
        </w:rPr>
        <w:t>s</w:t>
      </w:r>
      <w:r w:rsidRPr="3F0C7B5E">
        <w:rPr>
          <w:color w:val="auto"/>
        </w:rPr>
        <w:t xml:space="preserve"> to </w:t>
      </w:r>
      <w:r w:rsidR="74D53CB6" w:rsidRPr="3F0C7B5E">
        <w:rPr>
          <w:color w:val="auto"/>
        </w:rPr>
        <w:t>Council</w:t>
      </w:r>
      <w:r w:rsidRPr="3F0C7B5E">
        <w:rPr>
          <w:color w:val="auto"/>
        </w:rPr>
        <w:t xml:space="preserve"> </w:t>
      </w:r>
      <w:r w:rsidR="34DDAD83" w:rsidRPr="3F0C7B5E">
        <w:rPr>
          <w:color w:val="auto"/>
        </w:rPr>
        <w:t>regarding</w:t>
      </w:r>
      <w:r w:rsidRPr="3F0C7B5E">
        <w:rPr>
          <w:color w:val="auto"/>
        </w:rPr>
        <w:t xml:space="preserve"> ticket pricing</w:t>
      </w:r>
      <w:r w:rsidR="42769E30" w:rsidRPr="3F0C7B5E">
        <w:rPr>
          <w:color w:val="auto"/>
        </w:rPr>
        <w:t>,</w:t>
      </w:r>
      <w:r w:rsidRPr="3F0C7B5E">
        <w:rPr>
          <w:color w:val="auto"/>
        </w:rPr>
        <w:t xml:space="preserve"> as the </w:t>
      </w:r>
      <w:r w:rsidR="78281225" w:rsidRPr="3F0C7B5E">
        <w:rPr>
          <w:color w:val="auto"/>
        </w:rPr>
        <w:t>setting</w:t>
      </w:r>
      <w:r w:rsidRPr="3F0C7B5E">
        <w:rPr>
          <w:color w:val="auto"/>
        </w:rPr>
        <w:t xml:space="preserve"> of fees and </w:t>
      </w:r>
      <w:r w:rsidR="18260BF7" w:rsidRPr="3F0C7B5E">
        <w:rPr>
          <w:color w:val="auto"/>
        </w:rPr>
        <w:t>charges</w:t>
      </w:r>
      <w:r w:rsidRPr="3F0C7B5E">
        <w:rPr>
          <w:color w:val="auto"/>
        </w:rPr>
        <w:t xml:space="preserve"> is a </w:t>
      </w:r>
      <w:r w:rsidR="062B02FA" w:rsidRPr="3F0C7B5E">
        <w:rPr>
          <w:color w:val="auto"/>
        </w:rPr>
        <w:t>Council</w:t>
      </w:r>
      <w:r w:rsidRPr="3F0C7B5E">
        <w:rPr>
          <w:color w:val="auto"/>
        </w:rPr>
        <w:t xml:space="preserve"> </w:t>
      </w:r>
      <w:r w:rsidR="10B01B70" w:rsidRPr="3F0C7B5E">
        <w:rPr>
          <w:color w:val="auto"/>
        </w:rPr>
        <w:t xml:space="preserve">decision </w:t>
      </w:r>
      <w:r w:rsidRPr="3F0C7B5E">
        <w:rPr>
          <w:color w:val="auto"/>
        </w:rPr>
        <w:t xml:space="preserve">under 18.8 of the </w:t>
      </w:r>
      <w:r w:rsidR="6A60B82A" w:rsidRPr="3F0C7B5E">
        <w:rPr>
          <w:color w:val="auto"/>
        </w:rPr>
        <w:t>Constitution</w:t>
      </w:r>
      <w:r w:rsidRPr="3F0C7B5E">
        <w:rPr>
          <w:color w:val="auto"/>
        </w:rPr>
        <w:t xml:space="preserve">. </w:t>
      </w:r>
    </w:p>
    <w:p w14:paraId="7EE593B8" w14:textId="16DC4920" w:rsidR="6D2F47E4" w:rsidRDefault="2CB3FB73" w:rsidP="63F755EF">
      <w:pPr>
        <w:pStyle w:val="ListParagraph"/>
      </w:pPr>
      <w:r>
        <w:t xml:space="preserve">In the event </w:t>
      </w:r>
      <w:r w:rsidR="0A0F8CFD">
        <w:t>Council</w:t>
      </w:r>
      <w:r>
        <w:t xml:space="preserve"> agree a </w:t>
      </w:r>
      <w:r w:rsidR="718B8F02">
        <w:t>recommendation</w:t>
      </w:r>
      <w:r>
        <w:t xml:space="preserve"> </w:t>
      </w:r>
      <w:r w:rsidR="23465BF6">
        <w:t xml:space="preserve">from </w:t>
      </w:r>
      <w:r>
        <w:t>Cabi</w:t>
      </w:r>
      <w:r w:rsidR="0FD8F5C0">
        <w:t>net</w:t>
      </w:r>
      <w:r>
        <w:t xml:space="preserve"> to </w:t>
      </w:r>
      <w:r w:rsidR="7BC54778">
        <w:t>alter</w:t>
      </w:r>
      <w:r>
        <w:t xml:space="preserve"> the price of car parking </w:t>
      </w:r>
      <w:r w:rsidR="6408EE4B">
        <w:t xml:space="preserve">charges </w:t>
      </w:r>
      <w:r w:rsidR="20492E11">
        <w:t>t</w:t>
      </w:r>
      <w:r w:rsidR="71201390">
        <w:t xml:space="preserve">he variation of charges for off-street parking places </w:t>
      </w:r>
      <w:r w:rsidR="4BF16D5C">
        <w:t xml:space="preserve">is allowed </w:t>
      </w:r>
      <w:r w:rsidR="71201390">
        <w:t xml:space="preserve">under the Road Traffic Regulation Act 1984 section 35C and Schedule 9. </w:t>
      </w:r>
      <w:r w:rsidR="40BBC682">
        <w:t>T</w:t>
      </w:r>
      <w:r w:rsidR="71201390">
        <w:t>he requirements of the Traffic Orders (Procedures) (England and Wales) Regulations 19</w:t>
      </w:r>
      <w:r w:rsidR="3650CB17">
        <w:t>9</w:t>
      </w:r>
      <w:r w:rsidR="71201390">
        <w:t xml:space="preserve">6 relating to Notices of Variation </w:t>
      </w:r>
      <w:r w:rsidR="603EAB70">
        <w:t xml:space="preserve">will need to </w:t>
      </w:r>
      <w:r w:rsidR="71201390">
        <w:t>be complied with.</w:t>
      </w:r>
    </w:p>
    <w:p w14:paraId="3524EC71" w14:textId="6D1B9366" w:rsidR="0A68D56A" w:rsidRDefault="3E569933" w:rsidP="63F755EF">
      <w:pPr>
        <w:pStyle w:val="Heading1"/>
        <w:rPr>
          <w:color w:val="000000" w:themeColor="text1"/>
        </w:rPr>
      </w:pPr>
      <w:r>
        <w:t>Equalities Impact</w:t>
      </w:r>
    </w:p>
    <w:p w14:paraId="3C6A7A68" w14:textId="5C6F8668" w:rsidR="005A6610" w:rsidRDefault="68CF403B" w:rsidP="003B6555">
      <w:pPr>
        <w:pStyle w:val="ListParagraph"/>
      </w:pPr>
      <w:r>
        <w:t xml:space="preserve">See </w:t>
      </w:r>
      <w:r w:rsidRPr="0068119E">
        <w:t xml:space="preserve">Appendix </w:t>
      </w:r>
      <w:r w:rsidR="35E4A022" w:rsidRPr="0068119E">
        <w:t>D</w:t>
      </w:r>
      <w:r w:rsidRPr="3F0C7B5E">
        <w:rPr>
          <w:b/>
          <w:bCs/>
        </w:rPr>
        <w:t xml:space="preserve"> </w:t>
      </w:r>
      <w:r>
        <w:t xml:space="preserve">– </w:t>
      </w:r>
      <w:r w:rsidR="6F5BF078">
        <w:t xml:space="preserve">the </w:t>
      </w:r>
      <w:r>
        <w:t>EIA Full assessment.</w:t>
      </w:r>
      <w:r w:rsidR="164B1ABB">
        <w:t xml:space="preserve"> Key points include:</w:t>
      </w:r>
    </w:p>
    <w:p w14:paraId="10D0E33F" w14:textId="3482582C" w:rsidR="005A6610" w:rsidRDefault="5A456CDE" w:rsidP="4E3F9228">
      <w:pPr>
        <w:pStyle w:val="ListParagraph"/>
        <w:numPr>
          <w:ilvl w:val="1"/>
          <w:numId w:val="10"/>
        </w:numPr>
      </w:pPr>
      <w:r>
        <w:lastRenderedPageBreak/>
        <w:t xml:space="preserve">All buses used on the dedicated P&amp;R services meet the current </w:t>
      </w:r>
      <w:r w:rsidR="76CFA979">
        <w:t xml:space="preserve">Public Service Vehicle Accessibility Regulations </w:t>
      </w:r>
      <w:r>
        <w:t>standards and are fully accessible for mobility and sight-impaired passengers.</w:t>
      </w:r>
      <w:r w:rsidR="73EE4625">
        <w:t xml:space="preserve"> Since the changed tariffs came into effect in October 2022, the extension of the 11</w:t>
      </w:r>
      <w:r w:rsidR="31B620A1">
        <w:t xml:space="preserve"> </w:t>
      </w:r>
      <w:r w:rsidR="73EE4625">
        <w:t xml:space="preserve">hour tariff to 16 hours is a significant leveller towards people with disabilities as they </w:t>
      </w:r>
      <w:r w:rsidR="6365D43E">
        <w:t>are people who often take longer to make journeys.</w:t>
      </w:r>
    </w:p>
    <w:p w14:paraId="566CC0A4" w14:textId="6989FB5A" w:rsidR="005A6610" w:rsidRDefault="00B7886F" w:rsidP="4E3F9228">
      <w:pPr>
        <w:pStyle w:val="ListParagraph"/>
        <w:numPr>
          <w:ilvl w:val="1"/>
          <w:numId w:val="10"/>
        </w:numPr>
      </w:pPr>
      <w:r>
        <w:t xml:space="preserve">All options </w:t>
      </w:r>
      <w:r w:rsidR="2332C69C">
        <w:t>seek to retain provision of affordable and accessible transport,</w:t>
      </w:r>
      <w:r w:rsidR="173E9FF7">
        <w:t xml:space="preserve"> albeit Option</w:t>
      </w:r>
      <w:r w:rsidR="24125D5E">
        <w:t>s</w:t>
      </w:r>
      <w:r w:rsidR="173E9FF7">
        <w:t xml:space="preserve"> 2</w:t>
      </w:r>
      <w:r w:rsidR="71272F5B">
        <w:t xml:space="preserve"> &amp; 3 </w:t>
      </w:r>
      <w:r w:rsidR="26808D35">
        <w:t xml:space="preserve">both propose </w:t>
      </w:r>
      <w:r w:rsidR="173E9FF7">
        <w:t>an 1</w:t>
      </w:r>
      <w:r w:rsidR="5E9AE8ED">
        <w:t>2.5</w:t>
      </w:r>
      <w:r w:rsidR="173E9FF7">
        <w:t xml:space="preserve">% increase </w:t>
      </w:r>
      <w:r w:rsidR="059CE178">
        <w:t xml:space="preserve">for individuals (and 8% for two adults together) </w:t>
      </w:r>
      <w:r w:rsidR="173E9FF7">
        <w:t>on the current trial price.</w:t>
      </w:r>
    </w:p>
    <w:p w14:paraId="1C827EE6" w14:textId="30BE3F58" w:rsidR="005A6610" w:rsidRDefault="5F41606D" w:rsidP="4E3F9228">
      <w:pPr>
        <w:pStyle w:val="ListParagraph"/>
        <w:numPr>
          <w:ilvl w:val="1"/>
          <w:numId w:val="10"/>
        </w:numPr>
        <w:rPr>
          <w:color w:val="000000" w:themeColor="text1"/>
        </w:rPr>
      </w:pPr>
      <w:r w:rsidRPr="3F0C7B5E">
        <w:rPr>
          <w:color w:val="000000" w:themeColor="text1"/>
        </w:rPr>
        <w:t>Options 2 and 3</w:t>
      </w:r>
      <w:r w:rsidR="1D063BE4" w:rsidRPr="3F0C7B5E">
        <w:rPr>
          <w:color w:val="000000" w:themeColor="text1"/>
        </w:rPr>
        <w:t xml:space="preserve"> could negatively impact those on the lowest incomes, as well as</w:t>
      </w:r>
      <w:r w:rsidR="24CBD71C" w:rsidRPr="3F0C7B5E">
        <w:rPr>
          <w:color w:val="000000" w:themeColor="text1"/>
        </w:rPr>
        <w:t xml:space="preserve"> some</w:t>
      </w:r>
      <w:r w:rsidR="3AC8C94B" w:rsidRPr="3F0C7B5E">
        <w:rPr>
          <w:color w:val="000000" w:themeColor="text1"/>
        </w:rPr>
        <w:t xml:space="preserve"> people with disabilities and asylum seekers – people who are dependent on public transport and potentially not eligible for concessions</w:t>
      </w:r>
      <w:r w:rsidR="546BB228" w:rsidRPr="3F0C7B5E">
        <w:rPr>
          <w:color w:val="000000" w:themeColor="text1"/>
        </w:rPr>
        <w:t>.</w:t>
      </w:r>
      <w:r w:rsidR="100AD8FE" w:rsidRPr="3F0C7B5E">
        <w:rPr>
          <w:color w:val="000000" w:themeColor="text1"/>
        </w:rPr>
        <w:t xml:space="preserve"> Option </w:t>
      </w:r>
      <w:r w:rsidR="749A80C5" w:rsidRPr="3F0C7B5E">
        <w:rPr>
          <w:color w:val="000000" w:themeColor="text1"/>
        </w:rPr>
        <w:t>3</w:t>
      </w:r>
      <w:r w:rsidR="100AD8FE" w:rsidRPr="3F0C7B5E">
        <w:rPr>
          <w:color w:val="000000" w:themeColor="text1"/>
        </w:rPr>
        <w:t>, would reduce the negative impact compared to Option 2, because it would give more time for people to find out about and prepare for the change.</w:t>
      </w:r>
    </w:p>
    <w:p w14:paraId="7A63D5B7" w14:textId="1CBA0DA5" w:rsidR="005A6610" w:rsidRDefault="7F9262FA" w:rsidP="4E3F9228">
      <w:pPr>
        <w:pStyle w:val="ListParagraph"/>
        <w:numPr>
          <w:ilvl w:val="1"/>
          <w:numId w:val="10"/>
        </w:numPr>
        <w:spacing w:line="259" w:lineRule="auto"/>
        <w:rPr>
          <w:color w:val="000000" w:themeColor="text1"/>
        </w:rPr>
      </w:pPr>
      <w:r w:rsidRPr="3F0C7B5E">
        <w:rPr>
          <w:color w:val="000000" w:themeColor="text1"/>
        </w:rPr>
        <w:t>In Options 2 and 3 (or any future price change if Option 1 is pursued), m</w:t>
      </w:r>
      <w:r w:rsidR="546BB228" w:rsidRPr="3F0C7B5E">
        <w:rPr>
          <w:color w:val="000000" w:themeColor="text1"/>
        </w:rPr>
        <w:t xml:space="preserve">itigations will be in place, such as extensive communications about any price change, </w:t>
      </w:r>
      <w:r w:rsidR="3AC8C94B" w:rsidRPr="3F0C7B5E">
        <w:rPr>
          <w:color w:val="000000" w:themeColor="text1"/>
        </w:rPr>
        <w:t>to ensure that people</w:t>
      </w:r>
      <w:r w:rsidR="05D9579D" w:rsidRPr="3F0C7B5E">
        <w:rPr>
          <w:color w:val="000000" w:themeColor="text1"/>
        </w:rPr>
        <w:t xml:space="preserve"> who may be negatively affected will be </w:t>
      </w:r>
      <w:r w:rsidR="3AC8C94B" w:rsidRPr="3F0C7B5E">
        <w:rPr>
          <w:color w:val="000000" w:themeColor="text1"/>
        </w:rPr>
        <w:t xml:space="preserve">fully aware of any changes and sign-posted to </w:t>
      </w:r>
      <w:r w:rsidR="2247FE7A" w:rsidRPr="3F0C7B5E">
        <w:rPr>
          <w:color w:val="000000" w:themeColor="text1"/>
        </w:rPr>
        <w:t xml:space="preserve">a </w:t>
      </w:r>
      <w:r w:rsidR="3AC8C94B" w:rsidRPr="3F0C7B5E">
        <w:rPr>
          <w:color w:val="000000" w:themeColor="text1"/>
        </w:rPr>
        <w:t>full range of options (</w:t>
      </w:r>
      <w:r w:rsidR="25F49DDE" w:rsidRPr="3F0C7B5E">
        <w:rPr>
          <w:color w:val="000000" w:themeColor="text1"/>
        </w:rPr>
        <w:t xml:space="preserve">which may </w:t>
      </w:r>
      <w:r w:rsidR="3AC8C94B" w:rsidRPr="3F0C7B5E">
        <w:rPr>
          <w:color w:val="000000" w:themeColor="text1"/>
        </w:rPr>
        <w:t>includ</w:t>
      </w:r>
      <w:r w:rsidR="48588B8E" w:rsidRPr="3F0C7B5E">
        <w:rPr>
          <w:color w:val="000000" w:themeColor="text1"/>
        </w:rPr>
        <w:t>e</w:t>
      </w:r>
      <w:r w:rsidR="3AC8C94B" w:rsidRPr="3F0C7B5E">
        <w:rPr>
          <w:color w:val="000000" w:themeColor="text1"/>
        </w:rPr>
        <w:t xml:space="preserve"> taxi services)</w:t>
      </w:r>
      <w:r w:rsidR="7440CB29" w:rsidRPr="3F0C7B5E">
        <w:rPr>
          <w:color w:val="000000" w:themeColor="text1"/>
        </w:rPr>
        <w:t>; an ongoing period</w:t>
      </w:r>
      <w:r w:rsidR="2C64FEA1" w:rsidRPr="3F0C7B5E">
        <w:rPr>
          <w:color w:val="000000" w:themeColor="text1"/>
        </w:rPr>
        <w:t>ic</w:t>
      </w:r>
      <w:r w:rsidR="7440CB29" w:rsidRPr="3F0C7B5E">
        <w:rPr>
          <w:color w:val="000000" w:themeColor="text1"/>
        </w:rPr>
        <w:t xml:space="preserve"> review of the impact of any price change on people with disabilities through the Council’s Inclusive Transport &amp; Movement Focus Group; and officers to seek all opportunities to </w:t>
      </w:r>
      <w:r w:rsidR="3AC8C94B" w:rsidRPr="3F0C7B5E">
        <w:rPr>
          <w:color w:val="000000" w:themeColor="text1"/>
        </w:rPr>
        <w:t xml:space="preserve">include </w:t>
      </w:r>
      <w:r w:rsidR="5599F6CC" w:rsidRPr="3F0C7B5E">
        <w:rPr>
          <w:color w:val="000000" w:themeColor="text1"/>
        </w:rPr>
        <w:t xml:space="preserve">a </w:t>
      </w:r>
      <w:r w:rsidR="3AC8C94B" w:rsidRPr="3F0C7B5E">
        <w:rPr>
          <w:color w:val="000000" w:themeColor="text1"/>
        </w:rPr>
        <w:t xml:space="preserve">review of this change in </w:t>
      </w:r>
      <w:r w:rsidR="484D3AF3" w:rsidRPr="3F0C7B5E">
        <w:rPr>
          <w:color w:val="000000" w:themeColor="text1"/>
        </w:rPr>
        <w:t xml:space="preserve">the </w:t>
      </w:r>
      <w:r w:rsidR="3AC8C94B" w:rsidRPr="3F0C7B5E">
        <w:rPr>
          <w:color w:val="000000" w:themeColor="text1"/>
        </w:rPr>
        <w:t xml:space="preserve">context of </w:t>
      </w:r>
      <w:r w:rsidR="367EA383" w:rsidRPr="3F0C7B5E">
        <w:rPr>
          <w:color w:val="000000" w:themeColor="text1"/>
        </w:rPr>
        <w:t>work around “</w:t>
      </w:r>
      <w:r w:rsidR="4C0E6D47" w:rsidRPr="3F0C7B5E">
        <w:rPr>
          <w:color w:val="000000" w:themeColor="text1"/>
        </w:rPr>
        <w:t xml:space="preserve">the </w:t>
      </w:r>
      <w:r w:rsidR="3AC8C94B" w:rsidRPr="3F0C7B5E">
        <w:rPr>
          <w:color w:val="000000" w:themeColor="text1"/>
        </w:rPr>
        <w:t>City of Sanctuary</w:t>
      </w:r>
      <w:r w:rsidR="0C91FE0E" w:rsidRPr="3F0C7B5E">
        <w:rPr>
          <w:color w:val="000000" w:themeColor="text1"/>
        </w:rPr>
        <w:t>”</w:t>
      </w:r>
      <w:r w:rsidR="08CC21AD" w:rsidRPr="3F0C7B5E">
        <w:rPr>
          <w:color w:val="000000" w:themeColor="text1"/>
        </w:rPr>
        <w:t>, which addresses the needs of migrants, asylum seekers and refugees.</w:t>
      </w:r>
      <w:r w:rsidR="01DAF13C" w:rsidRPr="3F0C7B5E">
        <w:rPr>
          <w:color w:val="000000" w:themeColor="text1"/>
        </w:rPr>
        <w:t xml:space="preserve"> Feedback from these groups could lead to a future </w:t>
      </w:r>
      <w:r w:rsidR="00651A22">
        <w:rPr>
          <w:color w:val="000000" w:themeColor="text1"/>
        </w:rPr>
        <w:t>C</w:t>
      </w:r>
      <w:r w:rsidR="01DAF13C" w:rsidRPr="3F0C7B5E">
        <w:rPr>
          <w:color w:val="000000" w:themeColor="text1"/>
        </w:rPr>
        <w:t>abinet decision in order to make further amendments.</w:t>
      </w:r>
    </w:p>
    <w:p w14:paraId="39B01849" w14:textId="2989CFC7" w:rsidR="005A6610" w:rsidRDefault="76CFA979" w:rsidP="4E3F9228">
      <w:pPr>
        <w:pStyle w:val="ListParagraph"/>
        <w:numPr>
          <w:ilvl w:val="1"/>
          <w:numId w:val="10"/>
        </w:numPr>
        <w:rPr>
          <w:color w:val="000000" w:themeColor="text1"/>
        </w:rPr>
      </w:pPr>
      <w:r>
        <w:t xml:space="preserve">The recommended </w:t>
      </w:r>
      <w:r w:rsidR="2BE5961B">
        <w:t>O</w:t>
      </w:r>
      <w:r>
        <w:t xml:space="preserve">ption </w:t>
      </w:r>
      <w:r w:rsidR="19E071F6">
        <w:t xml:space="preserve">1 </w:t>
      </w:r>
      <w:r>
        <w:t xml:space="preserve">has a </w:t>
      </w:r>
      <w:r w:rsidR="76727204">
        <w:t xml:space="preserve">net </w:t>
      </w:r>
      <w:r>
        <w:t>positive impact on equalities because it</w:t>
      </w:r>
      <w:r w:rsidR="7AFDDAD1">
        <w:t xml:space="preserve"> means the Council will continue to promote the bus as a convenient and affordable transport option for people travelling to Oxford</w:t>
      </w:r>
      <w:r w:rsidR="26A9B8BE">
        <w:t xml:space="preserve"> (whether P&amp;R or </w:t>
      </w:r>
      <w:r w:rsidR="70D40693">
        <w:t>bus from source where it is a</w:t>
      </w:r>
      <w:r w:rsidR="0013955A">
        <w:t>vailable</w:t>
      </w:r>
      <w:r w:rsidR="789A55C8">
        <w:t>)</w:t>
      </w:r>
      <w:r w:rsidR="57B2EA1A">
        <w:t>,</w:t>
      </w:r>
      <w:r w:rsidR="789A55C8">
        <w:t xml:space="preserve"> and</w:t>
      </w:r>
      <w:r w:rsidR="57B2EA1A">
        <w:t xml:space="preserve"> </w:t>
      </w:r>
      <w:r w:rsidR="0013955A">
        <w:t xml:space="preserve">it keeps P&amp;R competitively priced compared to city centre car parking </w:t>
      </w:r>
      <w:r w:rsidR="72E1BEEF">
        <w:t>alternatives.</w:t>
      </w:r>
      <w:r w:rsidR="79C8A0DB">
        <w:t xml:space="preserve"> </w:t>
      </w:r>
      <w:r w:rsidR="12852AA3">
        <w:t xml:space="preserve">Even if a price increase ends up being agreed as part of the budget-setting process for April 2024, this </w:t>
      </w:r>
      <w:r w:rsidR="46548BE4">
        <w:t>would still result in reduced overall costs to customers compared to before the combined parking-and-bus ticket change was introduced</w:t>
      </w:r>
      <w:r w:rsidR="0013955A">
        <w:t xml:space="preserve">. </w:t>
      </w:r>
    </w:p>
    <w:p w14:paraId="33A0765F" w14:textId="77777777" w:rsidR="002329CF" w:rsidRPr="00C40A87" w:rsidRDefault="617A6614" w:rsidP="00C40A87">
      <w:pPr>
        <w:pStyle w:val="Heading1"/>
      </w:pPr>
      <w:r>
        <w:t>Level of risk</w:t>
      </w:r>
    </w:p>
    <w:p w14:paraId="72E9344D" w14:textId="57897AD0" w:rsidR="00FB3B71" w:rsidRPr="00236FF7" w:rsidRDefault="194A8F33" w:rsidP="63F755EF">
      <w:pPr>
        <w:pStyle w:val="bParagraphtext"/>
      </w:pPr>
      <w:r>
        <w:t xml:space="preserve">See </w:t>
      </w:r>
      <w:r w:rsidR="3B72D454" w:rsidRPr="0068119E">
        <w:t xml:space="preserve">Appendix </w:t>
      </w:r>
      <w:r w:rsidR="038DCFE8" w:rsidRPr="0068119E">
        <w:t>E</w:t>
      </w:r>
      <w:r w:rsidR="14638E13" w:rsidRPr="0068119E">
        <w:t xml:space="preserve"> –</w:t>
      </w:r>
      <w:r w:rsidR="14638E13" w:rsidRPr="3F0C7B5E">
        <w:rPr>
          <w:b/>
          <w:bCs/>
        </w:rPr>
        <w:t xml:space="preserve"> </w:t>
      </w:r>
      <w:r w:rsidR="14638E13">
        <w:t xml:space="preserve">the </w:t>
      </w:r>
      <w:r>
        <w:t xml:space="preserve">risk </w:t>
      </w:r>
      <w:r w:rsidR="25D9C724">
        <w:t>register</w:t>
      </w:r>
      <w:r>
        <w:t xml:space="preserve">. </w:t>
      </w:r>
      <w:r w:rsidR="7AC16FB2">
        <w:t xml:space="preserve">There are risks around dependency on Government and County decisions, beyond the City Council’s control; public sentiment relating to any increase in the </w:t>
      </w:r>
      <w:bookmarkStart w:id="1" w:name="_Int_ejbUA1AL"/>
      <w:r w:rsidR="7AC16FB2">
        <w:t>cost of living</w:t>
      </w:r>
      <w:bookmarkEnd w:id="1"/>
      <w:r w:rsidR="7AC16FB2">
        <w:t xml:space="preserve"> crisis; </w:t>
      </w:r>
      <w:r w:rsidR="16B8B7C0">
        <w:t>the potential for a</w:t>
      </w:r>
      <w:r w:rsidR="546C1541">
        <w:t xml:space="preserve"> </w:t>
      </w:r>
      <w:r w:rsidR="16B8B7C0">
        <w:t xml:space="preserve">price increase to lead to </w:t>
      </w:r>
      <w:r w:rsidR="5487AAFF">
        <w:t xml:space="preserve">a significant drop in utilisation and income; and the reliance on relationships with bus operators. There are no red risks. All risks have </w:t>
      </w:r>
      <w:r w:rsidR="4DF9A847">
        <w:t>mitigation plans and owners.</w:t>
      </w:r>
    </w:p>
    <w:p w14:paraId="704986F4" w14:textId="47407F57" w:rsidR="00FB3B71" w:rsidRPr="00236FF7" w:rsidRDefault="695D9512" w:rsidP="63F755EF">
      <w:pPr>
        <w:pStyle w:val="Heading1"/>
      </w:pPr>
      <w:r>
        <w:t xml:space="preserve">Environmental Impact Assessment </w:t>
      </w:r>
    </w:p>
    <w:p w14:paraId="4FCB24C5" w14:textId="0A8E3176" w:rsidR="003F2072" w:rsidRDefault="6F250914" w:rsidP="51588369">
      <w:pPr>
        <w:pStyle w:val="ListParagraph"/>
        <w:spacing w:line="259" w:lineRule="auto"/>
        <w:rPr>
          <w:color w:val="000000" w:themeColor="text1"/>
        </w:rPr>
      </w:pPr>
      <w:r>
        <w:t xml:space="preserve">Supporting </w:t>
      </w:r>
      <w:r w:rsidR="545289CD">
        <w:t xml:space="preserve">P&amp;R services is part of the Council’s green transport </w:t>
      </w:r>
      <w:r w:rsidR="4D98CFCF">
        <w:t xml:space="preserve">and sustainable development </w:t>
      </w:r>
      <w:r w:rsidR="545289CD">
        <w:t xml:space="preserve">agenda, as </w:t>
      </w:r>
      <w:r w:rsidR="4EF16503">
        <w:t xml:space="preserve">P&amp;Rs </w:t>
      </w:r>
      <w:r w:rsidR="545289CD">
        <w:t>contribute to fewer private vehicle journeys</w:t>
      </w:r>
      <w:r w:rsidR="2332C69C">
        <w:t xml:space="preserve"> within and across Oxford</w:t>
      </w:r>
      <w:r w:rsidR="545289CD">
        <w:t>.</w:t>
      </w:r>
      <w:r w:rsidR="6D93B9DA">
        <w:t xml:space="preserve"> </w:t>
      </w:r>
      <w:r w:rsidR="545289CD">
        <w:t xml:space="preserve">Ideally people will travel sustainably from origin to destination, however P&amp;Rs are essential </w:t>
      </w:r>
      <w:bookmarkStart w:id="2" w:name="_Int_8EBNFhr9"/>
      <w:r w:rsidR="6D93B9DA">
        <w:t>in order to</w:t>
      </w:r>
      <w:bookmarkEnd w:id="2"/>
      <w:r w:rsidR="6D93B9DA">
        <w:t xml:space="preserve"> make at least last-mile modal shift attractive and useful</w:t>
      </w:r>
      <w:r w:rsidR="2518C214">
        <w:t xml:space="preserve">, and to recognise the fact that it is not commercially viable to provide bus </w:t>
      </w:r>
      <w:r w:rsidR="2518C214">
        <w:lastRenderedPageBreak/>
        <w:t>services from every possible origin in Oxfordshire to Oxford city centre</w:t>
      </w:r>
      <w:r w:rsidR="6D93B9DA">
        <w:t>.</w:t>
      </w:r>
      <w:r w:rsidR="2518C214">
        <w:t xml:space="preserve"> </w:t>
      </w:r>
      <w:r w:rsidR="19EE8F27">
        <w:t>Option 1 continues to support the P&amp;R service wit</w:t>
      </w:r>
      <w:r w:rsidR="55CEC740">
        <w:t xml:space="preserve">hout any immediate changes to pricing which could have a negative effect </w:t>
      </w:r>
      <w:r w:rsidR="03C1F03C">
        <w:t xml:space="preserve">on utilisation. </w:t>
      </w:r>
      <w:r w:rsidR="335BCA52">
        <w:t xml:space="preserve">Option </w:t>
      </w:r>
      <w:r w:rsidR="0325C9EE">
        <w:t xml:space="preserve">3 </w:t>
      </w:r>
      <w:r w:rsidR="335BCA52">
        <w:t>is proportionate, in that it seeks to avoid undercutting bus-from-source, while ensuring that P&amp;Rs remain competitively priced compared to city centre car parking.</w:t>
      </w:r>
    </w:p>
    <w:p w14:paraId="1820DC51" w14:textId="57D32BB7" w:rsidR="523F47B1" w:rsidRDefault="2E596517" w:rsidP="63F755EF">
      <w:pPr>
        <w:pStyle w:val="Heading1"/>
        <w:spacing w:line="259" w:lineRule="auto"/>
      </w:pPr>
      <w:r>
        <w:t>Summary and next steps</w:t>
      </w:r>
    </w:p>
    <w:p w14:paraId="767458FA" w14:textId="18D802F0" w:rsidR="523F47B1" w:rsidRDefault="3FCAEE79" w:rsidP="4F3851AC">
      <w:pPr>
        <w:pStyle w:val="ListParagraph"/>
        <w:rPr>
          <w:color w:val="000000" w:themeColor="text1"/>
        </w:rPr>
      </w:pPr>
      <w:r w:rsidRPr="3F0C7B5E">
        <w:rPr>
          <w:color w:val="000000" w:themeColor="text1"/>
        </w:rPr>
        <w:t xml:space="preserve">The combined parking-and-bus tickets have been a success (paras </w:t>
      </w:r>
      <w:r w:rsidR="2DC1F96A" w:rsidRPr="3F0C7B5E">
        <w:rPr>
          <w:color w:val="000000" w:themeColor="text1"/>
        </w:rPr>
        <w:t>9-1</w:t>
      </w:r>
      <w:r w:rsidR="1F36D26A" w:rsidRPr="3F0C7B5E">
        <w:rPr>
          <w:color w:val="000000" w:themeColor="text1"/>
        </w:rPr>
        <w:t>9</w:t>
      </w:r>
      <w:r w:rsidRPr="3F0C7B5E">
        <w:rPr>
          <w:color w:val="000000" w:themeColor="text1"/>
        </w:rPr>
        <w:t>)</w:t>
      </w:r>
      <w:r w:rsidR="7486EB6B" w:rsidRPr="3F0C7B5E">
        <w:rPr>
          <w:color w:val="000000" w:themeColor="text1"/>
        </w:rPr>
        <w:t xml:space="preserve"> since implementation on 1 October 2022. P&amp;R will continue to be affected by numerous factors over the coming period (para </w:t>
      </w:r>
      <w:r w:rsidR="06F80D32" w:rsidRPr="3F0C7B5E">
        <w:rPr>
          <w:color w:val="000000" w:themeColor="text1"/>
        </w:rPr>
        <w:t>2</w:t>
      </w:r>
      <w:r w:rsidR="2E266D82" w:rsidRPr="3F0C7B5E">
        <w:rPr>
          <w:color w:val="000000" w:themeColor="text1"/>
        </w:rPr>
        <w:t>0</w:t>
      </w:r>
      <w:r w:rsidR="7486EB6B" w:rsidRPr="3F0C7B5E">
        <w:rPr>
          <w:color w:val="000000" w:themeColor="text1"/>
        </w:rPr>
        <w:t>)</w:t>
      </w:r>
      <w:r w:rsidR="2F663F8A" w:rsidRPr="3F0C7B5E">
        <w:rPr>
          <w:color w:val="000000" w:themeColor="text1"/>
        </w:rPr>
        <w:t xml:space="preserve">. There are strengths and weaknesses to leaving the prices as they </w:t>
      </w:r>
      <w:r w:rsidR="2C2BFD02" w:rsidRPr="3F0C7B5E">
        <w:rPr>
          <w:color w:val="000000" w:themeColor="text1"/>
        </w:rPr>
        <w:t xml:space="preserve">are (Option 1) </w:t>
      </w:r>
      <w:r w:rsidR="2F663F8A" w:rsidRPr="3F0C7B5E">
        <w:rPr>
          <w:color w:val="000000" w:themeColor="text1"/>
        </w:rPr>
        <w:t>versus a 1</w:t>
      </w:r>
      <w:r w:rsidR="35D360EB" w:rsidRPr="3F0C7B5E">
        <w:rPr>
          <w:color w:val="000000" w:themeColor="text1"/>
        </w:rPr>
        <w:t>2.5</w:t>
      </w:r>
      <w:r w:rsidR="2F663F8A" w:rsidRPr="3F0C7B5E">
        <w:rPr>
          <w:color w:val="000000" w:themeColor="text1"/>
        </w:rPr>
        <w:t>% increase</w:t>
      </w:r>
      <w:r w:rsidR="2DEC3F45" w:rsidRPr="3F0C7B5E">
        <w:rPr>
          <w:color w:val="000000" w:themeColor="text1"/>
        </w:rPr>
        <w:t xml:space="preserve"> </w:t>
      </w:r>
      <w:r w:rsidR="4AEA988C" w:rsidRPr="3F0C7B5E">
        <w:rPr>
          <w:color w:val="000000" w:themeColor="text1"/>
        </w:rPr>
        <w:t>for individuals</w:t>
      </w:r>
      <w:r w:rsidR="3C4F6799" w:rsidRPr="3F0C7B5E">
        <w:rPr>
          <w:color w:val="000000" w:themeColor="text1"/>
        </w:rPr>
        <w:t xml:space="preserve"> and 8% increase for two adults together</w:t>
      </w:r>
      <w:r w:rsidR="0CDA669F" w:rsidRPr="3F0C7B5E">
        <w:rPr>
          <w:color w:val="000000" w:themeColor="text1"/>
        </w:rPr>
        <w:t>, either ASAP</w:t>
      </w:r>
      <w:r w:rsidR="2DEC3F45" w:rsidRPr="3F0C7B5E">
        <w:rPr>
          <w:color w:val="000000" w:themeColor="text1"/>
        </w:rPr>
        <w:t xml:space="preserve"> (Option 2</w:t>
      </w:r>
      <w:r w:rsidR="32F0D39B" w:rsidRPr="3F0C7B5E">
        <w:rPr>
          <w:color w:val="000000" w:themeColor="text1"/>
        </w:rPr>
        <w:t>) or in April 2024 (Option 3</w:t>
      </w:r>
      <w:r w:rsidR="2DEC3F45" w:rsidRPr="3F0C7B5E">
        <w:rPr>
          <w:color w:val="000000" w:themeColor="text1"/>
        </w:rPr>
        <w:t>)</w:t>
      </w:r>
      <w:r w:rsidR="2F663F8A" w:rsidRPr="3F0C7B5E">
        <w:rPr>
          <w:color w:val="000000" w:themeColor="text1"/>
        </w:rPr>
        <w:t xml:space="preserve">, with the conclusion being that </w:t>
      </w:r>
      <w:r w:rsidR="37AADF34" w:rsidRPr="3F0C7B5E">
        <w:rPr>
          <w:color w:val="000000" w:themeColor="text1"/>
        </w:rPr>
        <w:t xml:space="preserve">Option </w:t>
      </w:r>
      <w:r w:rsidR="66B836E9" w:rsidRPr="3F0C7B5E">
        <w:rPr>
          <w:color w:val="000000" w:themeColor="text1"/>
        </w:rPr>
        <w:t>1</w:t>
      </w:r>
      <w:r w:rsidR="37AADF34" w:rsidRPr="3F0C7B5E">
        <w:rPr>
          <w:color w:val="000000" w:themeColor="text1"/>
        </w:rPr>
        <w:t xml:space="preserve"> is preferable from a policy</w:t>
      </w:r>
      <w:r w:rsidR="0E0AB1FA" w:rsidRPr="3F0C7B5E">
        <w:rPr>
          <w:color w:val="000000" w:themeColor="text1"/>
        </w:rPr>
        <w:t xml:space="preserve"> perspective, </w:t>
      </w:r>
      <w:r w:rsidR="37AADF34" w:rsidRPr="3F0C7B5E">
        <w:rPr>
          <w:color w:val="000000" w:themeColor="text1"/>
        </w:rPr>
        <w:t xml:space="preserve">estimated </w:t>
      </w:r>
      <w:r w:rsidR="6B22397B" w:rsidRPr="3F0C7B5E">
        <w:rPr>
          <w:color w:val="000000" w:themeColor="text1"/>
        </w:rPr>
        <w:t xml:space="preserve">impact on </w:t>
      </w:r>
      <w:r w:rsidR="37AADF34" w:rsidRPr="3F0C7B5E">
        <w:rPr>
          <w:color w:val="000000" w:themeColor="text1"/>
        </w:rPr>
        <w:t xml:space="preserve">utilisation </w:t>
      </w:r>
      <w:r w:rsidR="577980D9" w:rsidRPr="3F0C7B5E">
        <w:rPr>
          <w:color w:val="000000" w:themeColor="text1"/>
        </w:rPr>
        <w:t xml:space="preserve">and in order to increase likelihood of a coordinated approach with County </w:t>
      </w:r>
      <w:r w:rsidR="2F663F8A" w:rsidRPr="3F0C7B5E">
        <w:rPr>
          <w:color w:val="000000" w:themeColor="text1"/>
        </w:rPr>
        <w:t xml:space="preserve">(paras </w:t>
      </w:r>
      <w:r w:rsidR="4558C6F6" w:rsidRPr="3F0C7B5E">
        <w:rPr>
          <w:color w:val="000000" w:themeColor="text1"/>
        </w:rPr>
        <w:t>2</w:t>
      </w:r>
      <w:r w:rsidR="2878C9BD" w:rsidRPr="3F0C7B5E">
        <w:rPr>
          <w:color w:val="000000" w:themeColor="text1"/>
        </w:rPr>
        <w:t>1</w:t>
      </w:r>
      <w:r w:rsidR="2F663F8A" w:rsidRPr="3F0C7B5E">
        <w:rPr>
          <w:color w:val="000000" w:themeColor="text1"/>
        </w:rPr>
        <w:t>-</w:t>
      </w:r>
      <w:r w:rsidR="11A045BF" w:rsidRPr="3F0C7B5E">
        <w:rPr>
          <w:color w:val="000000" w:themeColor="text1"/>
        </w:rPr>
        <w:t>33).</w:t>
      </w:r>
      <w:r w:rsidR="3784AFA9" w:rsidRPr="3F0C7B5E">
        <w:rPr>
          <w:color w:val="000000" w:themeColor="text1"/>
        </w:rPr>
        <w:t xml:space="preserve"> The financial implications have been assessed (paras </w:t>
      </w:r>
      <w:r w:rsidR="1C817CC6" w:rsidRPr="3F0C7B5E">
        <w:rPr>
          <w:color w:val="000000" w:themeColor="text1"/>
        </w:rPr>
        <w:t>34-38</w:t>
      </w:r>
      <w:r w:rsidR="3784AFA9" w:rsidRPr="3F0C7B5E">
        <w:rPr>
          <w:color w:val="000000" w:themeColor="text1"/>
        </w:rPr>
        <w:t xml:space="preserve">) and </w:t>
      </w:r>
      <w:r w:rsidR="327AC58A" w:rsidRPr="3F0C7B5E">
        <w:rPr>
          <w:color w:val="000000" w:themeColor="text1"/>
        </w:rPr>
        <w:t>this reaffirms the officer recommendation to pursue Optio</w:t>
      </w:r>
      <w:r w:rsidR="29A8F0C5" w:rsidRPr="3F0C7B5E">
        <w:rPr>
          <w:color w:val="000000" w:themeColor="text1"/>
        </w:rPr>
        <w:t>n</w:t>
      </w:r>
      <w:r w:rsidR="327AC58A" w:rsidRPr="3F0C7B5E">
        <w:rPr>
          <w:color w:val="000000" w:themeColor="text1"/>
        </w:rPr>
        <w:t xml:space="preserve"> </w:t>
      </w:r>
      <w:r w:rsidR="6A1F303F" w:rsidRPr="3F0C7B5E">
        <w:rPr>
          <w:color w:val="000000" w:themeColor="text1"/>
        </w:rPr>
        <w:t>1.</w:t>
      </w:r>
    </w:p>
    <w:p w14:paraId="59818770" w14:textId="1E0B9CC3" w:rsidR="17F05148" w:rsidRDefault="327AC58A" w:rsidP="63F755EF">
      <w:pPr>
        <w:pStyle w:val="ListParagraph"/>
        <w:spacing w:line="259" w:lineRule="auto"/>
        <w:rPr>
          <w:color w:val="000000" w:themeColor="text1"/>
        </w:rPr>
      </w:pPr>
      <w:r w:rsidRPr="3F0C7B5E">
        <w:rPr>
          <w:color w:val="000000" w:themeColor="text1"/>
        </w:rPr>
        <w:t xml:space="preserve">If the </w:t>
      </w:r>
      <w:r w:rsidR="4DC8FCDB" w:rsidRPr="3F0C7B5E">
        <w:rPr>
          <w:color w:val="000000" w:themeColor="text1"/>
        </w:rPr>
        <w:t xml:space="preserve">officer recommendation is approved, then an urgent Chief Executive’s decision </w:t>
      </w:r>
      <w:r w:rsidR="5FDA11B4" w:rsidRPr="3F0C7B5E">
        <w:rPr>
          <w:color w:val="000000" w:themeColor="text1"/>
        </w:rPr>
        <w:t xml:space="preserve">will </w:t>
      </w:r>
      <w:r w:rsidR="4DC8FCDB" w:rsidRPr="3F0C7B5E">
        <w:rPr>
          <w:color w:val="000000" w:themeColor="text1"/>
        </w:rPr>
        <w:t>be required in order to ensure the parking-and-bus combined ticket</w:t>
      </w:r>
      <w:r w:rsidR="3CB66362" w:rsidRPr="3F0C7B5E">
        <w:rPr>
          <w:color w:val="000000" w:themeColor="text1"/>
        </w:rPr>
        <w:t xml:space="preserve"> charges </w:t>
      </w:r>
      <w:r w:rsidR="4DC8FCDB" w:rsidRPr="3F0C7B5E">
        <w:rPr>
          <w:color w:val="000000" w:themeColor="text1"/>
        </w:rPr>
        <w:t xml:space="preserve">are valid in between </w:t>
      </w:r>
      <w:r w:rsidR="42929BA8" w:rsidRPr="3F0C7B5E">
        <w:rPr>
          <w:color w:val="000000" w:themeColor="text1"/>
        </w:rPr>
        <w:t>3</w:t>
      </w:r>
      <w:r w:rsidR="2E1E9BC2" w:rsidRPr="3F0C7B5E">
        <w:rPr>
          <w:color w:val="000000" w:themeColor="text1"/>
        </w:rPr>
        <w:t>0</w:t>
      </w:r>
      <w:r w:rsidR="42929BA8" w:rsidRPr="3F0C7B5E">
        <w:rPr>
          <w:color w:val="000000" w:themeColor="text1"/>
        </w:rPr>
        <w:t xml:space="preserve"> </w:t>
      </w:r>
      <w:r w:rsidR="4DC8FCDB" w:rsidRPr="3F0C7B5E">
        <w:rPr>
          <w:color w:val="000000" w:themeColor="text1"/>
        </w:rPr>
        <w:t xml:space="preserve">September </w:t>
      </w:r>
      <w:r w:rsidR="1624C545" w:rsidRPr="3F0C7B5E">
        <w:rPr>
          <w:color w:val="000000" w:themeColor="text1"/>
        </w:rPr>
        <w:t xml:space="preserve">2023 </w:t>
      </w:r>
      <w:r w:rsidR="4DC8FCDB" w:rsidRPr="3F0C7B5E">
        <w:rPr>
          <w:color w:val="000000" w:themeColor="text1"/>
        </w:rPr>
        <w:t xml:space="preserve">(the end of the </w:t>
      </w:r>
      <w:r w:rsidR="0D196F3D" w:rsidRPr="3F0C7B5E">
        <w:rPr>
          <w:color w:val="000000" w:themeColor="text1"/>
        </w:rPr>
        <w:t>trial charge period</w:t>
      </w:r>
      <w:r w:rsidR="43C2E16E" w:rsidRPr="3F0C7B5E">
        <w:rPr>
          <w:color w:val="000000" w:themeColor="text1"/>
        </w:rPr>
        <w:t>)</w:t>
      </w:r>
      <w:r w:rsidR="66A194A8" w:rsidRPr="3F0C7B5E">
        <w:rPr>
          <w:color w:val="000000" w:themeColor="text1"/>
        </w:rPr>
        <w:t xml:space="preserve"> and 3 October </w:t>
      </w:r>
      <w:r w:rsidR="06A2F4BA" w:rsidRPr="3F0C7B5E">
        <w:rPr>
          <w:color w:val="000000" w:themeColor="text1"/>
        </w:rPr>
        <w:t xml:space="preserve">2023 </w:t>
      </w:r>
      <w:r w:rsidR="66A194A8" w:rsidRPr="3F0C7B5E">
        <w:rPr>
          <w:color w:val="000000" w:themeColor="text1"/>
        </w:rPr>
        <w:t xml:space="preserve">(the day after the full council meeting which is required in order to </w:t>
      </w:r>
      <w:r w:rsidR="063A8447" w:rsidRPr="3F0C7B5E">
        <w:rPr>
          <w:color w:val="000000" w:themeColor="text1"/>
        </w:rPr>
        <w:t>establish the combined ticket as a permanent option</w:t>
      </w:r>
      <w:r w:rsidR="0FC0AA8E" w:rsidRPr="3F0C7B5E">
        <w:rPr>
          <w:color w:val="000000" w:themeColor="text1"/>
        </w:rPr>
        <w:t>)</w:t>
      </w:r>
      <w:r w:rsidR="2645A7BF" w:rsidRPr="3F0C7B5E">
        <w:rPr>
          <w:color w:val="000000" w:themeColor="text1"/>
        </w:rPr>
        <w:t>.</w:t>
      </w:r>
      <w:r w:rsidR="25216B75" w:rsidRPr="3F0C7B5E">
        <w:rPr>
          <w:color w:val="000000" w:themeColor="text1"/>
        </w:rPr>
        <w:t xml:space="preserve"> </w:t>
      </w:r>
    </w:p>
    <w:p w14:paraId="08E4ECFB" w14:textId="77777777" w:rsidR="00836F16" w:rsidRPr="001356F1" w:rsidRDefault="00836F1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55B15D1" w14:textId="77777777" w:rsidTr="3F0C7B5E">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5CFA2BB0" w14:textId="77777777" w:rsidR="00E87F7A" w:rsidRPr="001356F1" w:rsidRDefault="024C07DF" w:rsidP="3F0C7B5E">
            <w:pPr>
              <w:rPr>
                <w:b/>
                <w:bCs/>
              </w:rPr>
            </w:pPr>
            <w:r w:rsidRPr="3F0C7B5E">
              <w:rPr>
                <w:b/>
                <w:bCs/>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046AEEE2" w14:textId="77777777" w:rsidR="00E87F7A" w:rsidRPr="001356F1" w:rsidRDefault="21CDAB45" w:rsidP="00A46E98">
            <w:r>
              <w:t xml:space="preserve">Ted Maxwell </w:t>
            </w:r>
          </w:p>
        </w:tc>
      </w:tr>
      <w:tr w:rsidR="00DF093E" w:rsidRPr="001356F1" w14:paraId="007F8805" w14:textId="77777777" w:rsidTr="3F0C7B5E">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6260B1DD" w14:textId="77777777" w:rsidR="00E87F7A" w:rsidRPr="001356F1" w:rsidRDefault="024C07DF" w:rsidP="00A46E98">
            <w: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32945B4E" w14:textId="792AFCDF" w:rsidR="00E87F7A" w:rsidRPr="001356F1" w:rsidRDefault="338A3427" w:rsidP="00A46E98">
            <w:r>
              <w:t>Economy, City Centre and Green Transport Lead</w:t>
            </w:r>
          </w:p>
        </w:tc>
      </w:tr>
      <w:tr w:rsidR="00DF093E" w:rsidRPr="001356F1" w14:paraId="7129AE82" w14:textId="77777777" w:rsidTr="3F0C7B5E">
        <w:trPr>
          <w:cantSplit/>
          <w:trHeight w:val="396"/>
        </w:trPr>
        <w:tc>
          <w:tcPr>
            <w:tcW w:w="3969" w:type="dxa"/>
            <w:tcBorders>
              <w:top w:val="nil"/>
              <w:left w:val="single" w:sz="8" w:space="0" w:color="000000" w:themeColor="text1"/>
              <w:bottom w:val="nil"/>
              <w:right w:val="nil"/>
            </w:tcBorders>
            <w:shd w:val="clear" w:color="auto" w:fill="auto"/>
          </w:tcPr>
          <w:p w14:paraId="3791E2A3" w14:textId="77777777" w:rsidR="00E87F7A" w:rsidRPr="001356F1" w:rsidRDefault="024C07DF" w:rsidP="00A46E98">
            <w:r>
              <w:t>Service area or department</w:t>
            </w:r>
          </w:p>
        </w:tc>
        <w:tc>
          <w:tcPr>
            <w:tcW w:w="4962" w:type="dxa"/>
            <w:tcBorders>
              <w:top w:val="nil"/>
              <w:left w:val="nil"/>
              <w:bottom w:val="nil"/>
              <w:right w:val="single" w:sz="8" w:space="0" w:color="000000" w:themeColor="text1"/>
            </w:tcBorders>
            <w:shd w:val="clear" w:color="auto" w:fill="auto"/>
          </w:tcPr>
          <w:p w14:paraId="72B0513E" w14:textId="77777777" w:rsidR="00E87F7A" w:rsidRPr="001356F1" w:rsidRDefault="4138C9CF" w:rsidP="00A46E98">
            <w:r>
              <w:t>Regeneration and Economy</w:t>
            </w:r>
          </w:p>
        </w:tc>
      </w:tr>
      <w:tr w:rsidR="00DF093E" w:rsidRPr="001356F1" w14:paraId="342D792A" w14:textId="77777777" w:rsidTr="3F0C7B5E">
        <w:trPr>
          <w:cantSplit/>
          <w:trHeight w:val="396"/>
        </w:trPr>
        <w:tc>
          <w:tcPr>
            <w:tcW w:w="3969" w:type="dxa"/>
            <w:tcBorders>
              <w:top w:val="nil"/>
              <w:left w:val="single" w:sz="8" w:space="0" w:color="000000" w:themeColor="text1"/>
              <w:bottom w:val="nil"/>
              <w:right w:val="nil"/>
            </w:tcBorders>
            <w:shd w:val="clear" w:color="auto" w:fill="auto"/>
          </w:tcPr>
          <w:p w14:paraId="67189C26" w14:textId="77777777" w:rsidR="00E87F7A" w:rsidRPr="001356F1" w:rsidRDefault="024C07DF" w:rsidP="00A46E98">
            <w:r>
              <w:t xml:space="preserve">Telephone </w:t>
            </w:r>
          </w:p>
        </w:tc>
        <w:tc>
          <w:tcPr>
            <w:tcW w:w="4962" w:type="dxa"/>
            <w:tcBorders>
              <w:top w:val="nil"/>
              <w:left w:val="nil"/>
              <w:bottom w:val="nil"/>
              <w:right w:val="single" w:sz="8" w:space="0" w:color="000000" w:themeColor="text1"/>
            </w:tcBorders>
            <w:shd w:val="clear" w:color="auto" w:fill="auto"/>
          </w:tcPr>
          <w:p w14:paraId="362B3F70" w14:textId="77777777" w:rsidR="00E87F7A" w:rsidRPr="001356F1" w:rsidRDefault="4138C9CF" w:rsidP="0034780E">
            <w:r>
              <w:t xml:space="preserve">01865 </w:t>
            </w:r>
            <w:r w:rsidR="21CDAB45">
              <w:t xml:space="preserve">335704 </w:t>
            </w:r>
          </w:p>
        </w:tc>
      </w:tr>
      <w:tr w:rsidR="005570B5" w:rsidRPr="001356F1" w14:paraId="2D779DC8" w14:textId="77777777" w:rsidTr="3F0C7B5E">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4F8E130E" w14:textId="77777777" w:rsidR="00E87F7A" w:rsidRPr="001356F1" w:rsidRDefault="024C07DF" w:rsidP="00A46E98">
            <w: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187DCEEA" w14:textId="77777777" w:rsidR="00C571A6" w:rsidRPr="001356F1" w:rsidRDefault="00E14E9B" w:rsidP="00A46E98">
            <w:pPr>
              <w:rPr>
                <w:rStyle w:val="Hyperlink"/>
                <w:color w:val="000000"/>
              </w:rPr>
            </w:pPr>
            <w:hyperlink r:id="rId14">
              <w:r w:rsidR="21CDAB45" w:rsidRPr="3F0C7B5E">
                <w:rPr>
                  <w:rStyle w:val="Hyperlink"/>
                </w:rPr>
                <w:t>tmaxwell@oxford.gov.uk</w:t>
              </w:r>
            </w:hyperlink>
          </w:p>
        </w:tc>
      </w:tr>
    </w:tbl>
    <w:p w14:paraId="60ECD307" w14:textId="77777777" w:rsidR="00433B96"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F85E8F1" w14:textId="77777777" w:rsidTr="3F0C7B5E">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7868976B" w14:textId="77777777" w:rsidR="0093067A" w:rsidRPr="001356F1" w:rsidRDefault="0967F141" w:rsidP="3F0C7B5E">
            <w:pPr>
              <w:rPr>
                <w:rStyle w:val="Firstpagetablebold"/>
                <w:b w:val="0"/>
              </w:rPr>
            </w:pPr>
            <w:r w:rsidRPr="3F0C7B5E">
              <w:rPr>
                <w:rStyle w:val="Firstpagetablebold"/>
              </w:rPr>
              <w:t xml:space="preserve">Background Papers: </w:t>
            </w:r>
            <w:r w:rsidRPr="3F0C7B5E">
              <w:rPr>
                <w:rStyle w:val="Firstpagetablebold"/>
                <w:b w:val="0"/>
              </w:rPr>
              <w:t>None</w:t>
            </w:r>
          </w:p>
        </w:tc>
      </w:tr>
    </w:tbl>
    <w:p w14:paraId="4D537448" w14:textId="77777777" w:rsidR="00CE4C87" w:rsidRDefault="00CE4C87" w:rsidP="0093067A"/>
    <w:sectPr w:rsidR="00CE4C87" w:rsidSect="006F636B">
      <w:footerReference w:type="even" r:id="rId15"/>
      <w:headerReference w:type="first" r:id="rId16"/>
      <w:pgSz w:w="11906" w:h="16838" w:code="9"/>
      <w:pgMar w:top="1276" w:right="1304" w:bottom="851"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B868" w14:textId="77777777" w:rsidR="00E4609F" w:rsidRDefault="00E4609F" w:rsidP="004A6D2F">
      <w:r>
        <w:separator/>
      </w:r>
    </w:p>
  </w:endnote>
  <w:endnote w:type="continuationSeparator" w:id="0">
    <w:p w14:paraId="07DE80FE" w14:textId="77777777" w:rsidR="00E4609F" w:rsidRDefault="00E4609F" w:rsidP="004A6D2F">
      <w:r>
        <w:continuationSeparator/>
      </w:r>
    </w:p>
  </w:endnote>
  <w:endnote w:type="continuationNotice" w:id="1">
    <w:p w14:paraId="45B1C9F0" w14:textId="77777777" w:rsidR="003E2875" w:rsidRDefault="003E28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F7D" w14:textId="77777777" w:rsidR="00321595" w:rsidRDefault="00321595" w:rsidP="004A6D2F">
    <w:pPr>
      <w:pStyle w:val="Footer"/>
    </w:pPr>
    <w:r>
      <w:t>Do not use a footer or page numbers.</w:t>
    </w:r>
  </w:p>
  <w:p w14:paraId="167EE536" w14:textId="77777777" w:rsidR="00321595" w:rsidRDefault="00321595" w:rsidP="004A6D2F">
    <w:pPr>
      <w:pStyle w:val="Footer"/>
    </w:pPr>
  </w:p>
  <w:p w14:paraId="1D2BF367" w14:textId="77777777" w:rsidR="00321595" w:rsidRDefault="0032159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5F2F" w14:textId="77777777" w:rsidR="00E4609F" w:rsidRDefault="00E4609F" w:rsidP="004A6D2F">
      <w:r>
        <w:separator/>
      </w:r>
    </w:p>
  </w:footnote>
  <w:footnote w:type="continuationSeparator" w:id="0">
    <w:p w14:paraId="09D4DEC1" w14:textId="77777777" w:rsidR="00E4609F" w:rsidRDefault="00E4609F" w:rsidP="004A6D2F">
      <w:r>
        <w:continuationSeparator/>
      </w:r>
    </w:p>
  </w:footnote>
  <w:footnote w:type="continuationNotice" w:id="1">
    <w:p w14:paraId="40520F8D" w14:textId="77777777" w:rsidR="003E2875" w:rsidRDefault="003E28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866" w14:textId="77777777" w:rsidR="00321595" w:rsidRDefault="00321595" w:rsidP="00D5547E">
    <w:pPr>
      <w:pStyle w:val="Header"/>
      <w:jc w:val="right"/>
    </w:pPr>
    <w:r>
      <w:rPr>
        <w:noProof/>
        <w:color w:val="2B579A"/>
        <w:shd w:val="clear" w:color="auto" w:fill="E6E6E6"/>
      </w:rPr>
      <w:drawing>
        <wp:inline distT="0" distB="0" distL="0" distR="0" wp14:anchorId="4E2FA613" wp14:editId="150314D3">
          <wp:extent cx="838200" cy="1119505"/>
          <wp:effectExtent l="0" t="0" r="0" b="4445"/>
          <wp:docPr id="17" name="Picture 17"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8EBNFhr9" int2:invalidationBookmarkName="" int2:hashCode="e0dMsLOcF3PXGS" int2:id="wN7mV3pr">
      <int2:state int2:value="Rejected" int2:type="AugLoop_Text_Critique"/>
    </int2:bookmark>
    <int2:bookmark int2:bookmarkName="_Int_ejbUA1AL" int2:invalidationBookmarkName="" int2:hashCode="8o1V++vS+funEB" int2:id="95BBxYx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52A21"/>
    <w:multiLevelType w:val="hybridMultilevel"/>
    <w:tmpl w:val="8EC4642C"/>
    <w:lvl w:ilvl="0" w:tplc="42BCB63C">
      <w:start w:val="1"/>
      <w:numFmt w:val="bullet"/>
      <w:lvlText w:val=""/>
      <w:lvlJc w:val="left"/>
      <w:pPr>
        <w:ind w:left="720" w:hanging="360"/>
      </w:pPr>
      <w:rPr>
        <w:rFonts w:ascii="Symbol" w:hAnsi="Symbol" w:hint="default"/>
      </w:rPr>
    </w:lvl>
    <w:lvl w:ilvl="1" w:tplc="B448AB90">
      <w:start w:val="1"/>
      <w:numFmt w:val="bullet"/>
      <w:lvlText w:val="o"/>
      <w:lvlJc w:val="left"/>
      <w:pPr>
        <w:ind w:left="1440" w:hanging="360"/>
      </w:pPr>
      <w:rPr>
        <w:rFonts w:ascii="Courier New" w:hAnsi="Courier New" w:hint="default"/>
      </w:rPr>
    </w:lvl>
    <w:lvl w:ilvl="2" w:tplc="305C8AF4">
      <w:start w:val="1"/>
      <w:numFmt w:val="bullet"/>
      <w:lvlText w:val=""/>
      <w:lvlJc w:val="left"/>
      <w:pPr>
        <w:ind w:left="2160" w:hanging="360"/>
      </w:pPr>
      <w:rPr>
        <w:rFonts w:ascii="Wingdings" w:hAnsi="Wingdings" w:hint="default"/>
      </w:rPr>
    </w:lvl>
    <w:lvl w:ilvl="3" w:tplc="50DEB502">
      <w:start w:val="1"/>
      <w:numFmt w:val="bullet"/>
      <w:lvlText w:val=""/>
      <w:lvlJc w:val="left"/>
      <w:pPr>
        <w:ind w:left="2880" w:hanging="360"/>
      </w:pPr>
      <w:rPr>
        <w:rFonts w:ascii="Symbol" w:hAnsi="Symbol" w:hint="default"/>
      </w:rPr>
    </w:lvl>
    <w:lvl w:ilvl="4" w:tplc="B4B8864A">
      <w:start w:val="1"/>
      <w:numFmt w:val="bullet"/>
      <w:lvlText w:val="o"/>
      <w:lvlJc w:val="left"/>
      <w:pPr>
        <w:ind w:left="3600" w:hanging="360"/>
      </w:pPr>
      <w:rPr>
        <w:rFonts w:ascii="Courier New" w:hAnsi="Courier New" w:hint="default"/>
      </w:rPr>
    </w:lvl>
    <w:lvl w:ilvl="5" w:tplc="28AE12B6">
      <w:start w:val="1"/>
      <w:numFmt w:val="bullet"/>
      <w:lvlText w:val=""/>
      <w:lvlJc w:val="left"/>
      <w:pPr>
        <w:ind w:left="4320" w:hanging="360"/>
      </w:pPr>
      <w:rPr>
        <w:rFonts w:ascii="Wingdings" w:hAnsi="Wingdings" w:hint="default"/>
      </w:rPr>
    </w:lvl>
    <w:lvl w:ilvl="6" w:tplc="1344751E">
      <w:start w:val="1"/>
      <w:numFmt w:val="bullet"/>
      <w:lvlText w:val=""/>
      <w:lvlJc w:val="left"/>
      <w:pPr>
        <w:ind w:left="5040" w:hanging="360"/>
      </w:pPr>
      <w:rPr>
        <w:rFonts w:ascii="Symbol" w:hAnsi="Symbol" w:hint="default"/>
      </w:rPr>
    </w:lvl>
    <w:lvl w:ilvl="7" w:tplc="A490B7F4">
      <w:start w:val="1"/>
      <w:numFmt w:val="bullet"/>
      <w:lvlText w:val="o"/>
      <w:lvlJc w:val="left"/>
      <w:pPr>
        <w:ind w:left="5760" w:hanging="360"/>
      </w:pPr>
      <w:rPr>
        <w:rFonts w:ascii="Courier New" w:hAnsi="Courier New" w:hint="default"/>
      </w:rPr>
    </w:lvl>
    <w:lvl w:ilvl="8" w:tplc="9CDE6E24">
      <w:start w:val="1"/>
      <w:numFmt w:val="bullet"/>
      <w:lvlText w:val=""/>
      <w:lvlJc w:val="left"/>
      <w:pPr>
        <w:ind w:left="6480" w:hanging="360"/>
      </w:pPr>
      <w:rPr>
        <w:rFonts w:ascii="Wingdings" w:hAnsi="Wingdings" w:hint="default"/>
      </w:rPr>
    </w:lvl>
  </w:abstractNum>
  <w:abstractNum w:abstractNumId="3" w15:restartNumberingAfterBreak="0">
    <w:nsid w:val="1AEDB143"/>
    <w:multiLevelType w:val="hybridMultilevel"/>
    <w:tmpl w:val="FFFFFFFF"/>
    <w:lvl w:ilvl="0" w:tplc="628E4A48">
      <w:start w:val="1"/>
      <w:numFmt w:val="decimal"/>
      <w:lvlText w:val="%1."/>
      <w:lvlJc w:val="left"/>
      <w:pPr>
        <w:ind w:left="720" w:hanging="360"/>
      </w:pPr>
    </w:lvl>
    <w:lvl w:ilvl="1" w:tplc="14E4C5C6">
      <w:start w:val="1"/>
      <w:numFmt w:val="lowerLetter"/>
      <w:lvlText w:val="%2."/>
      <w:lvlJc w:val="left"/>
      <w:pPr>
        <w:ind w:left="1440" w:hanging="360"/>
      </w:pPr>
    </w:lvl>
    <w:lvl w:ilvl="2" w:tplc="B23079B2">
      <w:start w:val="1"/>
      <w:numFmt w:val="lowerRoman"/>
      <w:lvlText w:val="%3."/>
      <w:lvlJc w:val="right"/>
      <w:pPr>
        <w:ind w:left="2160" w:hanging="180"/>
      </w:pPr>
    </w:lvl>
    <w:lvl w:ilvl="3" w:tplc="33B87C08">
      <w:start w:val="1"/>
      <w:numFmt w:val="decimal"/>
      <w:lvlText w:val="%4."/>
      <w:lvlJc w:val="left"/>
      <w:pPr>
        <w:ind w:left="2880" w:hanging="360"/>
      </w:pPr>
    </w:lvl>
    <w:lvl w:ilvl="4" w:tplc="D74AD056">
      <w:start w:val="1"/>
      <w:numFmt w:val="lowerLetter"/>
      <w:lvlText w:val="%5."/>
      <w:lvlJc w:val="left"/>
      <w:pPr>
        <w:ind w:left="3600" w:hanging="360"/>
      </w:pPr>
    </w:lvl>
    <w:lvl w:ilvl="5" w:tplc="2592976A">
      <w:start w:val="1"/>
      <w:numFmt w:val="lowerRoman"/>
      <w:lvlText w:val="%6."/>
      <w:lvlJc w:val="right"/>
      <w:pPr>
        <w:ind w:left="4320" w:hanging="180"/>
      </w:pPr>
    </w:lvl>
    <w:lvl w:ilvl="6" w:tplc="5106C7D8">
      <w:start w:val="1"/>
      <w:numFmt w:val="decimal"/>
      <w:lvlText w:val="%7."/>
      <w:lvlJc w:val="left"/>
      <w:pPr>
        <w:ind w:left="5040" w:hanging="360"/>
      </w:pPr>
    </w:lvl>
    <w:lvl w:ilvl="7" w:tplc="3DE29142">
      <w:start w:val="1"/>
      <w:numFmt w:val="lowerLetter"/>
      <w:lvlText w:val="%8."/>
      <w:lvlJc w:val="left"/>
      <w:pPr>
        <w:ind w:left="5760" w:hanging="360"/>
      </w:pPr>
    </w:lvl>
    <w:lvl w:ilvl="8" w:tplc="144ADF06">
      <w:start w:val="1"/>
      <w:numFmt w:val="lowerRoman"/>
      <w:lvlText w:val="%9."/>
      <w:lvlJc w:val="right"/>
      <w:pPr>
        <w:ind w:left="6480" w:hanging="180"/>
      </w:pPr>
    </w:lvl>
  </w:abstractNum>
  <w:abstractNum w:abstractNumId="4" w15:restartNumberingAfterBreak="0">
    <w:nsid w:val="1BD336B0"/>
    <w:multiLevelType w:val="hybridMultilevel"/>
    <w:tmpl w:val="64489C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872" w:hanging="360"/>
      </w:pPr>
      <w:rPr>
        <w:rFonts w:ascii="Symbol" w:hAnsi="Symbol"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6" w15:restartNumberingAfterBreak="0">
    <w:nsid w:val="2176807C"/>
    <w:multiLevelType w:val="hybridMultilevel"/>
    <w:tmpl w:val="B24E0E9C"/>
    <w:lvl w:ilvl="0" w:tplc="EE6E8314">
      <w:start w:val="1"/>
      <w:numFmt w:val="bullet"/>
      <w:lvlText w:val=""/>
      <w:lvlJc w:val="left"/>
      <w:pPr>
        <w:ind w:left="720" w:hanging="360"/>
      </w:pPr>
      <w:rPr>
        <w:rFonts w:ascii="Symbol" w:hAnsi="Symbol" w:hint="default"/>
      </w:rPr>
    </w:lvl>
    <w:lvl w:ilvl="1" w:tplc="3026B000">
      <w:start w:val="1"/>
      <w:numFmt w:val="bullet"/>
      <w:lvlText w:val="o"/>
      <w:lvlJc w:val="left"/>
      <w:pPr>
        <w:ind w:left="1440" w:hanging="360"/>
      </w:pPr>
      <w:rPr>
        <w:rFonts w:ascii="Courier New" w:hAnsi="Courier New" w:hint="default"/>
      </w:rPr>
    </w:lvl>
    <w:lvl w:ilvl="2" w:tplc="5D40F06A">
      <w:start w:val="1"/>
      <w:numFmt w:val="bullet"/>
      <w:lvlText w:val=""/>
      <w:lvlJc w:val="left"/>
      <w:pPr>
        <w:ind w:left="2160" w:hanging="360"/>
      </w:pPr>
      <w:rPr>
        <w:rFonts w:ascii="Wingdings" w:hAnsi="Wingdings" w:hint="default"/>
      </w:rPr>
    </w:lvl>
    <w:lvl w:ilvl="3" w:tplc="98128E0E">
      <w:start w:val="1"/>
      <w:numFmt w:val="bullet"/>
      <w:lvlText w:val=""/>
      <w:lvlJc w:val="left"/>
      <w:pPr>
        <w:ind w:left="2880" w:hanging="360"/>
      </w:pPr>
      <w:rPr>
        <w:rFonts w:ascii="Symbol" w:hAnsi="Symbol" w:hint="default"/>
      </w:rPr>
    </w:lvl>
    <w:lvl w:ilvl="4" w:tplc="36000C24">
      <w:start w:val="1"/>
      <w:numFmt w:val="bullet"/>
      <w:lvlText w:val="o"/>
      <w:lvlJc w:val="left"/>
      <w:pPr>
        <w:ind w:left="3600" w:hanging="360"/>
      </w:pPr>
      <w:rPr>
        <w:rFonts w:ascii="Courier New" w:hAnsi="Courier New" w:hint="default"/>
      </w:rPr>
    </w:lvl>
    <w:lvl w:ilvl="5" w:tplc="33246B06">
      <w:start w:val="1"/>
      <w:numFmt w:val="bullet"/>
      <w:lvlText w:val=""/>
      <w:lvlJc w:val="left"/>
      <w:pPr>
        <w:ind w:left="4320" w:hanging="360"/>
      </w:pPr>
      <w:rPr>
        <w:rFonts w:ascii="Wingdings" w:hAnsi="Wingdings" w:hint="default"/>
      </w:rPr>
    </w:lvl>
    <w:lvl w:ilvl="6" w:tplc="3B582120">
      <w:start w:val="1"/>
      <w:numFmt w:val="bullet"/>
      <w:lvlText w:val=""/>
      <w:lvlJc w:val="left"/>
      <w:pPr>
        <w:ind w:left="5040" w:hanging="360"/>
      </w:pPr>
      <w:rPr>
        <w:rFonts w:ascii="Symbol" w:hAnsi="Symbol" w:hint="default"/>
      </w:rPr>
    </w:lvl>
    <w:lvl w:ilvl="7" w:tplc="1AC2C774">
      <w:start w:val="1"/>
      <w:numFmt w:val="bullet"/>
      <w:lvlText w:val="o"/>
      <w:lvlJc w:val="left"/>
      <w:pPr>
        <w:ind w:left="5760" w:hanging="360"/>
      </w:pPr>
      <w:rPr>
        <w:rFonts w:ascii="Courier New" w:hAnsi="Courier New" w:hint="default"/>
      </w:rPr>
    </w:lvl>
    <w:lvl w:ilvl="8" w:tplc="22B002DC">
      <w:start w:val="1"/>
      <w:numFmt w:val="bullet"/>
      <w:lvlText w:val=""/>
      <w:lvlJc w:val="left"/>
      <w:pPr>
        <w:ind w:left="6480" w:hanging="360"/>
      </w:pPr>
      <w:rPr>
        <w:rFonts w:ascii="Wingdings" w:hAnsi="Wingdings" w:hint="default"/>
      </w:rPr>
    </w:lvl>
  </w:abstractNum>
  <w:abstractNum w:abstractNumId="7" w15:restartNumberingAfterBreak="0">
    <w:nsid w:val="262E5F3C"/>
    <w:multiLevelType w:val="hybridMultilevel"/>
    <w:tmpl w:val="44EEA9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BA1E1"/>
    <w:multiLevelType w:val="hybridMultilevel"/>
    <w:tmpl w:val="FFFFFFFF"/>
    <w:lvl w:ilvl="0" w:tplc="1D76B99E">
      <w:start w:val="1"/>
      <w:numFmt w:val="bullet"/>
      <w:lvlText w:val=""/>
      <w:lvlJc w:val="left"/>
      <w:pPr>
        <w:ind w:left="720" w:hanging="360"/>
      </w:pPr>
      <w:rPr>
        <w:rFonts w:ascii="Symbol" w:hAnsi="Symbol" w:hint="default"/>
      </w:rPr>
    </w:lvl>
    <w:lvl w:ilvl="1" w:tplc="832CC6EE">
      <w:start w:val="1"/>
      <w:numFmt w:val="bullet"/>
      <w:lvlText w:val="o"/>
      <w:lvlJc w:val="left"/>
      <w:pPr>
        <w:ind w:left="1440" w:hanging="360"/>
      </w:pPr>
      <w:rPr>
        <w:rFonts w:ascii="Courier New" w:hAnsi="Courier New" w:hint="default"/>
      </w:rPr>
    </w:lvl>
    <w:lvl w:ilvl="2" w:tplc="4ECEB6B2">
      <w:start w:val="1"/>
      <w:numFmt w:val="bullet"/>
      <w:lvlText w:val=""/>
      <w:lvlJc w:val="left"/>
      <w:pPr>
        <w:ind w:left="2160" w:hanging="360"/>
      </w:pPr>
      <w:rPr>
        <w:rFonts w:ascii="Wingdings" w:hAnsi="Wingdings" w:hint="default"/>
      </w:rPr>
    </w:lvl>
    <w:lvl w:ilvl="3" w:tplc="6FA8DDC4">
      <w:start w:val="1"/>
      <w:numFmt w:val="bullet"/>
      <w:lvlText w:val=""/>
      <w:lvlJc w:val="left"/>
      <w:pPr>
        <w:ind w:left="2880" w:hanging="360"/>
      </w:pPr>
      <w:rPr>
        <w:rFonts w:ascii="Symbol" w:hAnsi="Symbol" w:hint="default"/>
      </w:rPr>
    </w:lvl>
    <w:lvl w:ilvl="4" w:tplc="4D0EA9C8">
      <w:start w:val="1"/>
      <w:numFmt w:val="bullet"/>
      <w:lvlText w:val="o"/>
      <w:lvlJc w:val="left"/>
      <w:pPr>
        <w:ind w:left="3600" w:hanging="360"/>
      </w:pPr>
      <w:rPr>
        <w:rFonts w:ascii="Courier New" w:hAnsi="Courier New" w:hint="default"/>
      </w:rPr>
    </w:lvl>
    <w:lvl w:ilvl="5" w:tplc="DD408F42">
      <w:start w:val="1"/>
      <w:numFmt w:val="bullet"/>
      <w:lvlText w:val=""/>
      <w:lvlJc w:val="left"/>
      <w:pPr>
        <w:ind w:left="4320" w:hanging="360"/>
      </w:pPr>
      <w:rPr>
        <w:rFonts w:ascii="Wingdings" w:hAnsi="Wingdings" w:hint="default"/>
      </w:rPr>
    </w:lvl>
    <w:lvl w:ilvl="6" w:tplc="4CC0F228">
      <w:start w:val="1"/>
      <w:numFmt w:val="bullet"/>
      <w:lvlText w:val=""/>
      <w:lvlJc w:val="left"/>
      <w:pPr>
        <w:ind w:left="5040" w:hanging="360"/>
      </w:pPr>
      <w:rPr>
        <w:rFonts w:ascii="Symbol" w:hAnsi="Symbol" w:hint="default"/>
      </w:rPr>
    </w:lvl>
    <w:lvl w:ilvl="7" w:tplc="A28A3096">
      <w:start w:val="1"/>
      <w:numFmt w:val="bullet"/>
      <w:lvlText w:val="o"/>
      <w:lvlJc w:val="left"/>
      <w:pPr>
        <w:ind w:left="5760" w:hanging="360"/>
      </w:pPr>
      <w:rPr>
        <w:rFonts w:ascii="Courier New" w:hAnsi="Courier New" w:hint="default"/>
      </w:rPr>
    </w:lvl>
    <w:lvl w:ilvl="8" w:tplc="73E4559E">
      <w:start w:val="1"/>
      <w:numFmt w:val="bullet"/>
      <w:lvlText w:val=""/>
      <w:lvlJc w:val="left"/>
      <w:pPr>
        <w:ind w:left="6480" w:hanging="360"/>
      </w:pPr>
      <w:rPr>
        <w:rFonts w:ascii="Wingdings" w:hAnsi="Wingdings" w:hint="default"/>
      </w:rPr>
    </w:lvl>
  </w:abstractNum>
  <w:abstractNum w:abstractNumId="9" w15:restartNumberingAfterBreak="0">
    <w:nsid w:val="408257E3"/>
    <w:multiLevelType w:val="hybridMultilevel"/>
    <w:tmpl w:val="FFFFFFFF"/>
    <w:lvl w:ilvl="0" w:tplc="735C24BC">
      <w:start w:val="1"/>
      <w:numFmt w:val="bullet"/>
      <w:lvlText w:val=""/>
      <w:lvlJc w:val="left"/>
      <w:pPr>
        <w:ind w:left="720" w:hanging="360"/>
      </w:pPr>
      <w:rPr>
        <w:rFonts w:ascii="Symbol" w:hAnsi="Symbol" w:hint="default"/>
      </w:rPr>
    </w:lvl>
    <w:lvl w:ilvl="1" w:tplc="CAB872F0">
      <w:start w:val="1"/>
      <w:numFmt w:val="bullet"/>
      <w:lvlText w:val="o"/>
      <w:lvlJc w:val="left"/>
      <w:pPr>
        <w:ind w:left="1440" w:hanging="360"/>
      </w:pPr>
      <w:rPr>
        <w:rFonts w:ascii="Courier New" w:hAnsi="Courier New" w:hint="default"/>
      </w:rPr>
    </w:lvl>
    <w:lvl w:ilvl="2" w:tplc="E03AC7AE">
      <w:start w:val="1"/>
      <w:numFmt w:val="bullet"/>
      <w:lvlText w:val=""/>
      <w:lvlJc w:val="left"/>
      <w:pPr>
        <w:ind w:left="2160" w:hanging="360"/>
      </w:pPr>
      <w:rPr>
        <w:rFonts w:ascii="Wingdings" w:hAnsi="Wingdings" w:hint="default"/>
      </w:rPr>
    </w:lvl>
    <w:lvl w:ilvl="3" w:tplc="F0BA9CEA">
      <w:start w:val="1"/>
      <w:numFmt w:val="bullet"/>
      <w:lvlText w:val=""/>
      <w:lvlJc w:val="left"/>
      <w:pPr>
        <w:ind w:left="2880" w:hanging="360"/>
      </w:pPr>
      <w:rPr>
        <w:rFonts w:ascii="Symbol" w:hAnsi="Symbol" w:hint="default"/>
      </w:rPr>
    </w:lvl>
    <w:lvl w:ilvl="4" w:tplc="34725BE2">
      <w:start w:val="1"/>
      <w:numFmt w:val="bullet"/>
      <w:lvlText w:val="o"/>
      <w:lvlJc w:val="left"/>
      <w:pPr>
        <w:ind w:left="3600" w:hanging="360"/>
      </w:pPr>
      <w:rPr>
        <w:rFonts w:ascii="Courier New" w:hAnsi="Courier New" w:hint="default"/>
      </w:rPr>
    </w:lvl>
    <w:lvl w:ilvl="5" w:tplc="65A25960">
      <w:start w:val="1"/>
      <w:numFmt w:val="bullet"/>
      <w:lvlText w:val=""/>
      <w:lvlJc w:val="left"/>
      <w:pPr>
        <w:ind w:left="4320" w:hanging="360"/>
      </w:pPr>
      <w:rPr>
        <w:rFonts w:ascii="Wingdings" w:hAnsi="Wingdings" w:hint="default"/>
      </w:rPr>
    </w:lvl>
    <w:lvl w:ilvl="6" w:tplc="3A86A46C">
      <w:start w:val="1"/>
      <w:numFmt w:val="bullet"/>
      <w:lvlText w:val=""/>
      <w:lvlJc w:val="left"/>
      <w:pPr>
        <w:ind w:left="5040" w:hanging="360"/>
      </w:pPr>
      <w:rPr>
        <w:rFonts w:ascii="Symbol" w:hAnsi="Symbol" w:hint="default"/>
      </w:rPr>
    </w:lvl>
    <w:lvl w:ilvl="7" w:tplc="4226062E">
      <w:start w:val="1"/>
      <w:numFmt w:val="bullet"/>
      <w:lvlText w:val="o"/>
      <w:lvlJc w:val="left"/>
      <w:pPr>
        <w:ind w:left="5760" w:hanging="360"/>
      </w:pPr>
      <w:rPr>
        <w:rFonts w:ascii="Courier New" w:hAnsi="Courier New" w:hint="default"/>
      </w:rPr>
    </w:lvl>
    <w:lvl w:ilvl="8" w:tplc="70BE88CE">
      <w:start w:val="1"/>
      <w:numFmt w:val="bullet"/>
      <w:lvlText w:val=""/>
      <w:lvlJc w:val="left"/>
      <w:pPr>
        <w:ind w:left="6480" w:hanging="360"/>
      </w:pPr>
      <w:rPr>
        <w:rFonts w:ascii="Wingdings" w:hAnsi="Wingdings" w:hint="default"/>
      </w:rPr>
    </w:lvl>
  </w:abstractNum>
  <w:abstractNum w:abstractNumId="10" w15:restartNumberingAfterBreak="0">
    <w:nsid w:val="44BB36B0"/>
    <w:multiLevelType w:val="hybridMultilevel"/>
    <w:tmpl w:val="FFFFFFFF"/>
    <w:lvl w:ilvl="0" w:tplc="1680AEE2">
      <w:start w:val="1"/>
      <w:numFmt w:val="bullet"/>
      <w:lvlText w:val=""/>
      <w:lvlJc w:val="left"/>
      <w:pPr>
        <w:ind w:left="720" w:hanging="360"/>
      </w:pPr>
      <w:rPr>
        <w:rFonts w:ascii="Symbol" w:hAnsi="Symbol" w:hint="default"/>
      </w:rPr>
    </w:lvl>
    <w:lvl w:ilvl="1" w:tplc="97225A78">
      <w:start w:val="1"/>
      <w:numFmt w:val="bullet"/>
      <w:lvlText w:val="o"/>
      <w:lvlJc w:val="left"/>
      <w:pPr>
        <w:ind w:left="1440" w:hanging="360"/>
      </w:pPr>
      <w:rPr>
        <w:rFonts w:ascii="Courier New" w:hAnsi="Courier New" w:hint="default"/>
      </w:rPr>
    </w:lvl>
    <w:lvl w:ilvl="2" w:tplc="3AB6D22A">
      <w:start w:val="1"/>
      <w:numFmt w:val="bullet"/>
      <w:lvlText w:val=""/>
      <w:lvlJc w:val="left"/>
      <w:pPr>
        <w:ind w:left="2160" w:hanging="360"/>
      </w:pPr>
      <w:rPr>
        <w:rFonts w:ascii="Wingdings" w:hAnsi="Wingdings" w:hint="default"/>
      </w:rPr>
    </w:lvl>
    <w:lvl w:ilvl="3" w:tplc="274E330E">
      <w:start w:val="1"/>
      <w:numFmt w:val="bullet"/>
      <w:lvlText w:val=""/>
      <w:lvlJc w:val="left"/>
      <w:pPr>
        <w:ind w:left="2880" w:hanging="360"/>
      </w:pPr>
      <w:rPr>
        <w:rFonts w:ascii="Symbol" w:hAnsi="Symbol" w:hint="default"/>
      </w:rPr>
    </w:lvl>
    <w:lvl w:ilvl="4" w:tplc="05944546">
      <w:start w:val="1"/>
      <w:numFmt w:val="bullet"/>
      <w:lvlText w:val="o"/>
      <w:lvlJc w:val="left"/>
      <w:pPr>
        <w:ind w:left="3600" w:hanging="360"/>
      </w:pPr>
      <w:rPr>
        <w:rFonts w:ascii="Courier New" w:hAnsi="Courier New" w:hint="default"/>
      </w:rPr>
    </w:lvl>
    <w:lvl w:ilvl="5" w:tplc="19646CEC">
      <w:start w:val="1"/>
      <w:numFmt w:val="bullet"/>
      <w:lvlText w:val=""/>
      <w:lvlJc w:val="left"/>
      <w:pPr>
        <w:ind w:left="4320" w:hanging="360"/>
      </w:pPr>
      <w:rPr>
        <w:rFonts w:ascii="Wingdings" w:hAnsi="Wingdings" w:hint="default"/>
      </w:rPr>
    </w:lvl>
    <w:lvl w:ilvl="6" w:tplc="FDB81412">
      <w:start w:val="1"/>
      <w:numFmt w:val="bullet"/>
      <w:lvlText w:val=""/>
      <w:lvlJc w:val="left"/>
      <w:pPr>
        <w:ind w:left="5040" w:hanging="360"/>
      </w:pPr>
      <w:rPr>
        <w:rFonts w:ascii="Symbol" w:hAnsi="Symbol" w:hint="default"/>
      </w:rPr>
    </w:lvl>
    <w:lvl w:ilvl="7" w:tplc="7A1E49AC">
      <w:start w:val="1"/>
      <w:numFmt w:val="bullet"/>
      <w:lvlText w:val="o"/>
      <w:lvlJc w:val="left"/>
      <w:pPr>
        <w:ind w:left="5760" w:hanging="360"/>
      </w:pPr>
      <w:rPr>
        <w:rFonts w:ascii="Courier New" w:hAnsi="Courier New" w:hint="default"/>
      </w:rPr>
    </w:lvl>
    <w:lvl w:ilvl="8" w:tplc="A19C56C6">
      <w:start w:val="1"/>
      <w:numFmt w:val="bullet"/>
      <w:lvlText w:val=""/>
      <w:lvlJc w:val="left"/>
      <w:pPr>
        <w:ind w:left="6480" w:hanging="360"/>
      </w:pPr>
      <w:rPr>
        <w:rFonts w:ascii="Wingdings" w:hAnsi="Wingdings" w:hint="default"/>
      </w:rPr>
    </w:lvl>
  </w:abstractNum>
  <w:abstractNum w:abstractNumId="11" w15:restartNumberingAfterBreak="0">
    <w:nsid w:val="4BF37E97"/>
    <w:multiLevelType w:val="hybridMultilevel"/>
    <w:tmpl w:val="D9ECAC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DA709"/>
    <w:multiLevelType w:val="hybridMultilevel"/>
    <w:tmpl w:val="FFFFFFFF"/>
    <w:lvl w:ilvl="0" w:tplc="5FA6D672">
      <w:start w:val="1"/>
      <w:numFmt w:val="bullet"/>
      <w:lvlText w:val=""/>
      <w:lvlJc w:val="left"/>
      <w:pPr>
        <w:ind w:left="720" w:hanging="360"/>
      </w:pPr>
      <w:rPr>
        <w:rFonts w:ascii="Symbol" w:hAnsi="Symbol" w:hint="default"/>
      </w:rPr>
    </w:lvl>
    <w:lvl w:ilvl="1" w:tplc="8EBAF1D8">
      <w:start w:val="1"/>
      <w:numFmt w:val="bullet"/>
      <w:lvlText w:val="o"/>
      <w:lvlJc w:val="left"/>
      <w:pPr>
        <w:ind w:left="1440" w:hanging="360"/>
      </w:pPr>
      <w:rPr>
        <w:rFonts w:ascii="Courier New" w:hAnsi="Courier New" w:hint="default"/>
      </w:rPr>
    </w:lvl>
    <w:lvl w:ilvl="2" w:tplc="7EA2866A">
      <w:start w:val="1"/>
      <w:numFmt w:val="bullet"/>
      <w:lvlText w:val=""/>
      <w:lvlJc w:val="left"/>
      <w:pPr>
        <w:ind w:left="2160" w:hanging="360"/>
      </w:pPr>
      <w:rPr>
        <w:rFonts w:ascii="Wingdings" w:hAnsi="Wingdings" w:hint="default"/>
      </w:rPr>
    </w:lvl>
    <w:lvl w:ilvl="3" w:tplc="0CBCC370">
      <w:start w:val="1"/>
      <w:numFmt w:val="bullet"/>
      <w:lvlText w:val=""/>
      <w:lvlJc w:val="left"/>
      <w:pPr>
        <w:ind w:left="2880" w:hanging="360"/>
      </w:pPr>
      <w:rPr>
        <w:rFonts w:ascii="Symbol" w:hAnsi="Symbol" w:hint="default"/>
      </w:rPr>
    </w:lvl>
    <w:lvl w:ilvl="4" w:tplc="4FCEE2DC">
      <w:start w:val="1"/>
      <w:numFmt w:val="bullet"/>
      <w:lvlText w:val="o"/>
      <w:lvlJc w:val="left"/>
      <w:pPr>
        <w:ind w:left="3600" w:hanging="360"/>
      </w:pPr>
      <w:rPr>
        <w:rFonts w:ascii="Courier New" w:hAnsi="Courier New" w:hint="default"/>
      </w:rPr>
    </w:lvl>
    <w:lvl w:ilvl="5" w:tplc="D1229B3C">
      <w:start w:val="1"/>
      <w:numFmt w:val="bullet"/>
      <w:lvlText w:val=""/>
      <w:lvlJc w:val="left"/>
      <w:pPr>
        <w:ind w:left="4320" w:hanging="360"/>
      </w:pPr>
      <w:rPr>
        <w:rFonts w:ascii="Wingdings" w:hAnsi="Wingdings" w:hint="default"/>
      </w:rPr>
    </w:lvl>
    <w:lvl w:ilvl="6" w:tplc="EBA2665C">
      <w:start w:val="1"/>
      <w:numFmt w:val="bullet"/>
      <w:lvlText w:val=""/>
      <w:lvlJc w:val="left"/>
      <w:pPr>
        <w:ind w:left="5040" w:hanging="360"/>
      </w:pPr>
      <w:rPr>
        <w:rFonts w:ascii="Symbol" w:hAnsi="Symbol" w:hint="default"/>
      </w:rPr>
    </w:lvl>
    <w:lvl w:ilvl="7" w:tplc="41C6B516">
      <w:start w:val="1"/>
      <w:numFmt w:val="bullet"/>
      <w:lvlText w:val="o"/>
      <w:lvlJc w:val="left"/>
      <w:pPr>
        <w:ind w:left="5760" w:hanging="360"/>
      </w:pPr>
      <w:rPr>
        <w:rFonts w:ascii="Courier New" w:hAnsi="Courier New" w:hint="default"/>
      </w:rPr>
    </w:lvl>
    <w:lvl w:ilvl="8" w:tplc="B192B7D4">
      <w:start w:val="1"/>
      <w:numFmt w:val="bullet"/>
      <w:lvlText w:val=""/>
      <w:lvlJc w:val="left"/>
      <w:pPr>
        <w:ind w:left="6480" w:hanging="360"/>
      </w:pPr>
      <w:rPr>
        <w:rFonts w:ascii="Wingdings" w:hAnsi="Wingdings" w:hint="default"/>
      </w:rPr>
    </w:lvl>
  </w:abstractNum>
  <w:abstractNum w:abstractNumId="13" w15:restartNumberingAfterBreak="0">
    <w:nsid w:val="55986000"/>
    <w:multiLevelType w:val="hybridMultilevel"/>
    <w:tmpl w:val="A3DA7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D06F51"/>
    <w:multiLevelType w:val="hybridMultilevel"/>
    <w:tmpl w:val="FFFFFFFF"/>
    <w:lvl w:ilvl="0" w:tplc="750CEE16">
      <w:start w:val="1"/>
      <w:numFmt w:val="bullet"/>
      <w:lvlText w:val=""/>
      <w:lvlJc w:val="left"/>
      <w:pPr>
        <w:ind w:left="720" w:hanging="360"/>
      </w:pPr>
      <w:rPr>
        <w:rFonts w:ascii="Symbol" w:hAnsi="Symbol" w:hint="default"/>
      </w:rPr>
    </w:lvl>
    <w:lvl w:ilvl="1" w:tplc="5ECE9E24">
      <w:start w:val="1"/>
      <w:numFmt w:val="bullet"/>
      <w:lvlText w:val="o"/>
      <w:lvlJc w:val="left"/>
      <w:pPr>
        <w:ind w:left="1440" w:hanging="360"/>
      </w:pPr>
      <w:rPr>
        <w:rFonts w:ascii="Courier New" w:hAnsi="Courier New" w:hint="default"/>
      </w:rPr>
    </w:lvl>
    <w:lvl w:ilvl="2" w:tplc="5EDA45FA">
      <w:start w:val="1"/>
      <w:numFmt w:val="bullet"/>
      <w:lvlText w:val=""/>
      <w:lvlJc w:val="left"/>
      <w:pPr>
        <w:ind w:left="2160" w:hanging="360"/>
      </w:pPr>
      <w:rPr>
        <w:rFonts w:ascii="Wingdings" w:hAnsi="Wingdings" w:hint="default"/>
      </w:rPr>
    </w:lvl>
    <w:lvl w:ilvl="3" w:tplc="15AE222E">
      <w:start w:val="1"/>
      <w:numFmt w:val="bullet"/>
      <w:lvlText w:val=""/>
      <w:lvlJc w:val="left"/>
      <w:pPr>
        <w:ind w:left="2880" w:hanging="360"/>
      </w:pPr>
      <w:rPr>
        <w:rFonts w:ascii="Symbol" w:hAnsi="Symbol" w:hint="default"/>
      </w:rPr>
    </w:lvl>
    <w:lvl w:ilvl="4" w:tplc="A4CE1776">
      <w:start w:val="1"/>
      <w:numFmt w:val="bullet"/>
      <w:lvlText w:val="o"/>
      <w:lvlJc w:val="left"/>
      <w:pPr>
        <w:ind w:left="3600" w:hanging="360"/>
      </w:pPr>
      <w:rPr>
        <w:rFonts w:ascii="Courier New" w:hAnsi="Courier New" w:hint="default"/>
      </w:rPr>
    </w:lvl>
    <w:lvl w:ilvl="5" w:tplc="6370152E">
      <w:start w:val="1"/>
      <w:numFmt w:val="bullet"/>
      <w:lvlText w:val=""/>
      <w:lvlJc w:val="left"/>
      <w:pPr>
        <w:ind w:left="4320" w:hanging="360"/>
      </w:pPr>
      <w:rPr>
        <w:rFonts w:ascii="Wingdings" w:hAnsi="Wingdings" w:hint="default"/>
      </w:rPr>
    </w:lvl>
    <w:lvl w:ilvl="6" w:tplc="F656D702">
      <w:start w:val="1"/>
      <w:numFmt w:val="bullet"/>
      <w:lvlText w:val=""/>
      <w:lvlJc w:val="left"/>
      <w:pPr>
        <w:ind w:left="5040" w:hanging="360"/>
      </w:pPr>
      <w:rPr>
        <w:rFonts w:ascii="Symbol" w:hAnsi="Symbol" w:hint="default"/>
      </w:rPr>
    </w:lvl>
    <w:lvl w:ilvl="7" w:tplc="1CC8900A">
      <w:start w:val="1"/>
      <w:numFmt w:val="bullet"/>
      <w:lvlText w:val="o"/>
      <w:lvlJc w:val="left"/>
      <w:pPr>
        <w:ind w:left="5760" w:hanging="360"/>
      </w:pPr>
      <w:rPr>
        <w:rFonts w:ascii="Courier New" w:hAnsi="Courier New" w:hint="default"/>
      </w:rPr>
    </w:lvl>
    <w:lvl w:ilvl="8" w:tplc="64E89604">
      <w:start w:val="1"/>
      <w:numFmt w:val="bullet"/>
      <w:lvlText w:val=""/>
      <w:lvlJc w:val="left"/>
      <w:pPr>
        <w:ind w:left="6480" w:hanging="360"/>
      </w:pPr>
      <w:rPr>
        <w:rFonts w:ascii="Wingdings" w:hAnsi="Wingdings" w:hint="default"/>
      </w:rPr>
    </w:lvl>
  </w:abstractNum>
  <w:abstractNum w:abstractNumId="15" w15:restartNumberingAfterBreak="0">
    <w:nsid w:val="6A9F2B3C"/>
    <w:multiLevelType w:val="multilevel"/>
    <w:tmpl w:val="4C5820D8"/>
    <w:lvl w:ilvl="0">
      <w:start w:val="1"/>
      <w:numFmt w:val="decimal"/>
      <w:pStyle w:val="Numberedlist"/>
      <w:lvlText w:val="%1."/>
      <w:lvlJc w:val="left"/>
      <w:pPr>
        <w:ind w:left="1026" w:hanging="360"/>
      </w:pPr>
      <w:rPr>
        <w:rFonts w:ascii="Arial" w:hAnsi="Arial"/>
        <w:color w:val="000000"/>
        <w:sz w:val="24"/>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6" w15:restartNumberingAfterBreak="0">
    <w:nsid w:val="6B7A064B"/>
    <w:multiLevelType w:val="hybridMultilevel"/>
    <w:tmpl w:val="34CE41A6"/>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D1D2E"/>
    <w:multiLevelType w:val="hybridMultilevel"/>
    <w:tmpl w:val="3D9850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8365C6"/>
    <w:multiLevelType w:val="hybridMultilevel"/>
    <w:tmpl w:val="513A8776"/>
    <w:lvl w:ilvl="0" w:tplc="FFFFFFFF">
      <w:start w:val="1"/>
      <w:numFmt w:val="decimal"/>
      <w:pStyle w:val="ListParagraph"/>
      <w:lvlText w:val="%1."/>
      <w:lvlJc w:val="left"/>
      <w:pPr>
        <w:ind w:left="360" w:hanging="360"/>
      </w:pPr>
      <w:rPr>
        <w:b w:val="0"/>
        <w:i w:val="0"/>
        <w:color w:val="000000"/>
        <w:sz w:val="24"/>
      </w:rPr>
    </w:lvl>
    <w:lvl w:ilvl="1" w:tplc="FFFFFFFF">
      <w:start w:val="1"/>
      <w:numFmt w:val="bullet"/>
      <w:lvlText w:val=""/>
      <w:lvlJc w:val="left"/>
      <w:pPr>
        <w:ind w:left="1080" w:hanging="360"/>
      </w:pPr>
      <w:rPr>
        <w:rFonts w:ascii="Symbol" w:hAnsi="Symbol" w:hint="default"/>
      </w:rPr>
    </w:lvl>
    <w:lvl w:ilvl="2" w:tplc="DB028804">
      <w:start w:val="1"/>
      <w:numFmt w:val="lowerRoman"/>
      <w:lvlText w:val="%3."/>
      <w:lvlJc w:val="right"/>
      <w:pPr>
        <w:ind w:left="1800" w:hanging="180"/>
      </w:pPr>
    </w:lvl>
    <w:lvl w:ilvl="3" w:tplc="6E7E48F4">
      <w:start w:val="1"/>
      <w:numFmt w:val="decimal"/>
      <w:lvlText w:val="%4."/>
      <w:lvlJc w:val="left"/>
      <w:pPr>
        <w:ind w:left="2520" w:hanging="360"/>
      </w:pPr>
    </w:lvl>
    <w:lvl w:ilvl="4" w:tplc="2EC8108A">
      <w:start w:val="1"/>
      <w:numFmt w:val="lowerLetter"/>
      <w:lvlText w:val="%5."/>
      <w:lvlJc w:val="left"/>
      <w:pPr>
        <w:ind w:left="3240" w:hanging="360"/>
      </w:pPr>
    </w:lvl>
    <w:lvl w:ilvl="5" w:tplc="BF4E96FE">
      <w:start w:val="1"/>
      <w:numFmt w:val="lowerRoman"/>
      <w:lvlText w:val="%6."/>
      <w:lvlJc w:val="right"/>
      <w:pPr>
        <w:ind w:left="3960" w:hanging="180"/>
      </w:pPr>
    </w:lvl>
    <w:lvl w:ilvl="6" w:tplc="2E74A628">
      <w:start w:val="1"/>
      <w:numFmt w:val="decimal"/>
      <w:lvlText w:val="%7."/>
      <w:lvlJc w:val="left"/>
      <w:pPr>
        <w:ind w:left="4680" w:hanging="360"/>
      </w:pPr>
    </w:lvl>
    <w:lvl w:ilvl="7" w:tplc="D4C420B2">
      <w:start w:val="1"/>
      <w:numFmt w:val="lowerLetter"/>
      <w:lvlText w:val="%8."/>
      <w:lvlJc w:val="left"/>
      <w:pPr>
        <w:ind w:left="5400" w:hanging="360"/>
      </w:pPr>
    </w:lvl>
    <w:lvl w:ilvl="8" w:tplc="C9FC42B0">
      <w:start w:val="1"/>
      <w:numFmt w:val="lowerRoman"/>
      <w:lvlText w:val="%9."/>
      <w:lvlJc w:val="right"/>
      <w:pPr>
        <w:ind w:left="6120" w:hanging="180"/>
      </w:pPr>
    </w:lvl>
  </w:abstractNum>
  <w:abstractNum w:abstractNumId="19" w15:restartNumberingAfterBreak="0">
    <w:nsid w:val="7D767A16"/>
    <w:multiLevelType w:val="hybridMultilevel"/>
    <w:tmpl w:val="1854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054582">
    <w:abstractNumId w:val="6"/>
  </w:num>
  <w:num w:numId="2" w16cid:durableId="760025671">
    <w:abstractNumId w:val="2"/>
  </w:num>
  <w:num w:numId="3" w16cid:durableId="209852596">
    <w:abstractNumId w:val="3"/>
  </w:num>
  <w:num w:numId="4" w16cid:durableId="1357855317">
    <w:abstractNumId w:val="10"/>
  </w:num>
  <w:num w:numId="5" w16cid:durableId="688141866">
    <w:abstractNumId w:val="8"/>
  </w:num>
  <w:num w:numId="6" w16cid:durableId="1198549174">
    <w:abstractNumId w:val="12"/>
  </w:num>
  <w:num w:numId="7" w16cid:durableId="1295139278">
    <w:abstractNumId w:val="14"/>
  </w:num>
  <w:num w:numId="8" w16cid:durableId="344013747">
    <w:abstractNumId w:val="9"/>
  </w:num>
  <w:num w:numId="9" w16cid:durableId="948125798">
    <w:abstractNumId w:val="0"/>
  </w:num>
  <w:num w:numId="10" w16cid:durableId="217666204">
    <w:abstractNumId w:val="18"/>
  </w:num>
  <w:num w:numId="11" w16cid:durableId="137503244">
    <w:abstractNumId w:val="5"/>
  </w:num>
  <w:num w:numId="12" w16cid:durableId="786311306">
    <w:abstractNumId w:val="1"/>
  </w:num>
  <w:num w:numId="13" w16cid:durableId="1776439866">
    <w:abstractNumId w:val="15"/>
  </w:num>
  <w:num w:numId="14" w16cid:durableId="1225992016">
    <w:abstractNumId w:val="13"/>
  </w:num>
  <w:num w:numId="15" w16cid:durableId="974874879">
    <w:abstractNumId w:val="4"/>
  </w:num>
  <w:num w:numId="16" w16cid:durableId="1927884377">
    <w:abstractNumId w:val="7"/>
  </w:num>
  <w:num w:numId="17" w16cid:durableId="1368600327">
    <w:abstractNumId w:val="11"/>
  </w:num>
  <w:num w:numId="18" w16cid:durableId="1624115565">
    <w:abstractNumId w:val="17"/>
  </w:num>
  <w:num w:numId="19" w16cid:durableId="1441219082">
    <w:abstractNumId w:val="16"/>
  </w:num>
  <w:num w:numId="20" w16cid:durableId="518544571">
    <w:abstractNumId w:val="19"/>
  </w:num>
  <w:num w:numId="21" w16cid:durableId="180248262">
    <w:abstractNumId w:val="18"/>
  </w:num>
  <w:num w:numId="22" w16cid:durableId="1492985311">
    <w:abstractNumId w:val="18"/>
  </w:num>
  <w:num w:numId="23" w16cid:durableId="1736859127">
    <w:abstractNumId w:val="18"/>
  </w:num>
  <w:num w:numId="24" w16cid:durableId="2134595670">
    <w:abstractNumId w:val="18"/>
  </w:num>
  <w:num w:numId="25" w16cid:durableId="46827954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3/06/2022 15:12"/>
  </w:docVars>
  <w:rsids>
    <w:rsidRoot w:val="00FB3B71"/>
    <w:rsid w:val="0000534F"/>
    <w:rsid w:val="000103FE"/>
    <w:rsid w:val="000117D4"/>
    <w:rsid w:val="000158D6"/>
    <w:rsid w:val="00027910"/>
    <w:rsid w:val="000314D7"/>
    <w:rsid w:val="00034054"/>
    <w:rsid w:val="00034089"/>
    <w:rsid w:val="00045F8B"/>
    <w:rsid w:val="00046D2B"/>
    <w:rsid w:val="000515AF"/>
    <w:rsid w:val="00052010"/>
    <w:rsid w:val="00056263"/>
    <w:rsid w:val="00064D49"/>
    <w:rsid w:val="00064D8A"/>
    <w:rsid w:val="00064F82"/>
    <w:rsid w:val="00066510"/>
    <w:rsid w:val="0006786B"/>
    <w:rsid w:val="00077523"/>
    <w:rsid w:val="0008094D"/>
    <w:rsid w:val="000A133A"/>
    <w:rsid w:val="000A2F86"/>
    <w:rsid w:val="000A52AC"/>
    <w:rsid w:val="000A7351"/>
    <w:rsid w:val="000B1DFC"/>
    <w:rsid w:val="000B5939"/>
    <w:rsid w:val="000C089F"/>
    <w:rsid w:val="000C212D"/>
    <w:rsid w:val="000C2471"/>
    <w:rsid w:val="000C3928"/>
    <w:rsid w:val="000C5E8E"/>
    <w:rsid w:val="000D2558"/>
    <w:rsid w:val="000F4751"/>
    <w:rsid w:val="000FD533"/>
    <w:rsid w:val="00100E8A"/>
    <w:rsid w:val="0010524C"/>
    <w:rsid w:val="00111FB1"/>
    <w:rsid w:val="00113418"/>
    <w:rsid w:val="00124CB1"/>
    <w:rsid w:val="00133C29"/>
    <w:rsid w:val="001356F1"/>
    <w:rsid w:val="00136994"/>
    <w:rsid w:val="0013955A"/>
    <w:rsid w:val="0014128E"/>
    <w:rsid w:val="00142572"/>
    <w:rsid w:val="00151888"/>
    <w:rsid w:val="00151F38"/>
    <w:rsid w:val="00152A17"/>
    <w:rsid w:val="00156260"/>
    <w:rsid w:val="001622EA"/>
    <w:rsid w:val="0016333B"/>
    <w:rsid w:val="00170A2D"/>
    <w:rsid w:val="001719B0"/>
    <w:rsid w:val="0017271A"/>
    <w:rsid w:val="001732E1"/>
    <w:rsid w:val="001808BC"/>
    <w:rsid w:val="00182B81"/>
    <w:rsid w:val="0018619D"/>
    <w:rsid w:val="0019331E"/>
    <w:rsid w:val="00194996"/>
    <w:rsid w:val="00195E6C"/>
    <w:rsid w:val="001A011E"/>
    <w:rsid w:val="001A066A"/>
    <w:rsid w:val="001A13E6"/>
    <w:rsid w:val="001A1667"/>
    <w:rsid w:val="001A5731"/>
    <w:rsid w:val="001B42C3"/>
    <w:rsid w:val="001B7FE5"/>
    <w:rsid w:val="001C5D5E"/>
    <w:rsid w:val="001D678D"/>
    <w:rsid w:val="001E03F8"/>
    <w:rsid w:val="001E0410"/>
    <w:rsid w:val="001E1678"/>
    <w:rsid w:val="001E1932"/>
    <w:rsid w:val="001E3376"/>
    <w:rsid w:val="002069B3"/>
    <w:rsid w:val="002161C8"/>
    <w:rsid w:val="002329CF"/>
    <w:rsid w:val="00232F5B"/>
    <w:rsid w:val="00236FF7"/>
    <w:rsid w:val="00237D94"/>
    <w:rsid w:val="00247C29"/>
    <w:rsid w:val="00253E28"/>
    <w:rsid w:val="00260467"/>
    <w:rsid w:val="00263EA3"/>
    <w:rsid w:val="00265751"/>
    <w:rsid w:val="00272A71"/>
    <w:rsid w:val="00272C20"/>
    <w:rsid w:val="0027559C"/>
    <w:rsid w:val="00277AF3"/>
    <w:rsid w:val="0028022A"/>
    <w:rsid w:val="00284F85"/>
    <w:rsid w:val="002870C3"/>
    <w:rsid w:val="00290915"/>
    <w:rsid w:val="0029644B"/>
    <w:rsid w:val="002A22E2"/>
    <w:rsid w:val="002B6836"/>
    <w:rsid w:val="002C1AD9"/>
    <w:rsid w:val="002C5632"/>
    <w:rsid w:val="002C64F7"/>
    <w:rsid w:val="002E363D"/>
    <w:rsid w:val="002E46C9"/>
    <w:rsid w:val="002F17F5"/>
    <w:rsid w:val="002F41F2"/>
    <w:rsid w:val="00301BF3"/>
    <w:rsid w:val="0030208D"/>
    <w:rsid w:val="003112E8"/>
    <w:rsid w:val="0031130A"/>
    <w:rsid w:val="003153ED"/>
    <w:rsid w:val="0031598C"/>
    <w:rsid w:val="00321595"/>
    <w:rsid w:val="00323418"/>
    <w:rsid w:val="003357BF"/>
    <w:rsid w:val="00336373"/>
    <w:rsid w:val="003408FA"/>
    <w:rsid w:val="0034780E"/>
    <w:rsid w:val="00350A1A"/>
    <w:rsid w:val="00354214"/>
    <w:rsid w:val="0035793C"/>
    <w:rsid w:val="00362DA1"/>
    <w:rsid w:val="00364FAD"/>
    <w:rsid w:val="0036738F"/>
    <w:rsid w:val="0036759C"/>
    <w:rsid w:val="00367AE5"/>
    <w:rsid w:val="00367D71"/>
    <w:rsid w:val="0038150A"/>
    <w:rsid w:val="003963C1"/>
    <w:rsid w:val="003A4CD6"/>
    <w:rsid w:val="003B1B57"/>
    <w:rsid w:val="003B6555"/>
    <w:rsid w:val="003B6E75"/>
    <w:rsid w:val="003B785C"/>
    <w:rsid w:val="003B7DA1"/>
    <w:rsid w:val="003D0379"/>
    <w:rsid w:val="003D2574"/>
    <w:rsid w:val="003D4C59"/>
    <w:rsid w:val="003E2875"/>
    <w:rsid w:val="003E2C4B"/>
    <w:rsid w:val="003F172A"/>
    <w:rsid w:val="003F2072"/>
    <w:rsid w:val="003F4267"/>
    <w:rsid w:val="003F73BA"/>
    <w:rsid w:val="00404032"/>
    <w:rsid w:val="0040736F"/>
    <w:rsid w:val="00412C1F"/>
    <w:rsid w:val="004141B5"/>
    <w:rsid w:val="00421CB2"/>
    <w:rsid w:val="0042491D"/>
    <w:rsid w:val="004268B9"/>
    <w:rsid w:val="00432338"/>
    <w:rsid w:val="00433B96"/>
    <w:rsid w:val="004354F7"/>
    <w:rsid w:val="004440F1"/>
    <w:rsid w:val="004445E7"/>
    <w:rsid w:val="004451E0"/>
    <w:rsid w:val="004456DD"/>
    <w:rsid w:val="00446CDF"/>
    <w:rsid w:val="004521B7"/>
    <w:rsid w:val="004548E0"/>
    <w:rsid w:val="00462AB5"/>
    <w:rsid w:val="00463120"/>
    <w:rsid w:val="00465EAF"/>
    <w:rsid w:val="004736BF"/>
    <w:rsid w:val="004738C5"/>
    <w:rsid w:val="0047737B"/>
    <w:rsid w:val="00491046"/>
    <w:rsid w:val="00495763"/>
    <w:rsid w:val="00496078"/>
    <w:rsid w:val="004A2AC7"/>
    <w:rsid w:val="004A6D2F"/>
    <w:rsid w:val="004A91E3"/>
    <w:rsid w:val="004B11AE"/>
    <w:rsid w:val="004B3226"/>
    <w:rsid w:val="004C2887"/>
    <w:rsid w:val="004D2626"/>
    <w:rsid w:val="004D6E26"/>
    <w:rsid w:val="004D77D3"/>
    <w:rsid w:val="004E2959"/>
    <w:rsid w:val="004E40FD"/>
    <w:rsid w:val="004E590A"/>
    <w:rsid w:val="004F20EF"/>
    <w:rsid w:val="004F5712"/>
    <w:rsid w:val="0050321C"/>
    <w:rsid w:val="00507ECC"/>
    <w:rsid w:val="00526A33"/>
    <w:rsid w:val="005324A9"/>
    <w:rsid w:val="0054712D"/>
    <w:rsid w:val="00547EF6"/>
    <w:rsid w:val="00554C11"/>
    <w:rsid w:val="00556F2A"/>
    <w:rsid w:val="005570B5"/>
    <w:rsid w:val="00567E18"/>
    <w:rsid w:val="00575F5F"/>
    <w:rsid w:val="005803BB"/>
    <w:rsid w:val="00581805"/>
    <w:rsid w:val="00585F76"/>
    <w:rsid w:val="005955C2"/>
    <w:rsid w:val="00595E05"/>
    <w:rsid w:val="005965F1"/>
    <w:rsid w:val="005A34E4"/>
    <w:rsid w:val="005A6610"/>
    <w:rsid w:val="005A7837"/>
    <w:rsid w:val="005B0FCC"/>
    <w:rsid w:val="005B1672"/>
    <w:rsid w:val="005B17F2"/>
    <w:rsid w:val="005B7FB0"/>
    <w:rsid w:val="005BE7C6"/>
    <w:rsid w:val="005C35A5"/>
    <w:rsid w:val="005C577C"/>
    <w:rsid w:val="005D0621"/>
    <w:rsid w:val="005D1E27"/>
    <w:rsid w:val="005D2A3E"/>
    <w:rsid w:val="005D7155"/>
    <w:rsid w:val="005E022E"/>
    <w:rsid w:val="005E2149"/>
    <w:rsid w:val="005E2812"/>
    <w:rsid w:val="005E458C"/>
    <w:rsid w:val="005E4A24"/>
    <w:rsid w:val="005E5215"/>
    <w:rsid w:val="005F011D"/>
    <w:rsid w:val="005F7F7E"/>
    <w:rsid w:val="0060E682"/>
    <w:rsid w:val="00614693"/>
    <w:rsid w:val="00617EF1"/>
    <w:rsid w:val="006201E1"/>
    <w:rsid w:val="00622E72"/>
    <w:rsid w:val="00622FF6"/>
    <w:rsid w:val="00623C2F"/>
    <w:rsid w:val="006332E0"/>
    <w:rsid w:val="00633578"/>
    <w:rsid w:val="0063473C"/>
    <w:rsid w:val="00637068"/>
    <w:rsid w:val="00640A32"/>
    <w:rsid w:val="00642339"/>
    <w:rsid w:val="00645061"/>
    <w:rsid w:val="00650811"/>
    <w:rsid w:val="00651754"/>
    <w:rsid w:val="00651A22"/>
    <w:rsid w:val="00661D3E"/>
    <w:rsid w:val="0067049A"/>
    <w:rsid w:val="00677BD0"/>
    <w:rsid w:val="006808D6"/>
    <w:rsid w:val="0068119E"/>
    <w:rsid w:val="006832FB"/>
    <w:rsid w:val="006878A3"/>
    <w:rsid w:val="00692627"/>
    <w:rsid w:val="006969E7"/>
    <w:rsid w:val="006A3643"/>
    <w:rsid w:val="006A4B06"/>
    <w:rsid w:val="006B10C2"/>
    <w:rsid w:val="006B50DA"/>
    <w:rsid w:val="006C2A29"/>
    <w:rsid w:val="006C54BB"/>
    <w:rsid w:val="006C64CF"/>
    <w:rsid w:val="006D17B1"/>
    <w:rsid w:val="006D4752"/>
    <w:rsid w:val="006D708A"/>
    <w:rsid w:val="006E14C1"/>
    <w:rsid w:val="006F0292"/>
    <w:rsid w:val="006F27FA"/>
    <w:rsid w:val="006F416B"/>
    <w:rsid w:val="006F4CDB"/>
    <w:rsid w:val="006F519B"/>
    <w:rsid w:val="006F6093"/>
    <w:rsid w:val="006F636B"/>
    <w:rsid w:val="007021BC"/>
    <w:rsid w:val="007022BE"/>
    <w:rsid w:val="00713675"/>
    <w:rsid w:val="00715823"/>
    <w:rsid w:val="007253EF"/>
    <w:rsid w:val="00730019"/>
    <w:rsid w:val="00737B93"/>
    <w:rsid w:val="00744007"/>
    <w:rsid w:val="00745BF0"/>
    <w:rsid w:val="00751EA3"/>
    <w:rsid w:val="00754F0C"/>
    <w:rsid w:val="007615FE"/>
    <w:rsid w:val="007661DF"/>
    <w:rsid w:val="0076655C"/>
    <w:rsid w:val="00773DD4"/>
    <w:rsid w:val="007742DC"/>
    <w:rsid w:val="0077CD19"/>
    <w:rsid w:val="00782184"/>
    <w:rsid w:val="00785208"/>
    <w:rsid w:val="0078C27E"/>
    <w:rsid w:val="00791437"/>
    <w:rsid w:val="007A3106"/>
    <w:rsid w:val="007B0C2C"/>
    <w:rsid w:val="007B278E"/>
    <w:rsid w:val="007B5CA2"/>
    <w:rsid w:val="007C5C23"/>
    <w:rsid w:val="007C6969"/>
    <w:rsid w:val="007C70CF"/>
    <w:rsid w:val="007E20C0"/>
    <w:rsid w:val="007E2A26"/>
    <w:rsid w:val="007F2348"/>
    <w:rsid w:val="007F4757"/>
    <w:rsid w:val="007F4EFB"/>
    <w:rsid w:val="007F5D1B"/>
    <w:rsid w:val="007F6218"/>
    <w:rsid w:val="00803F07"/>
    <w:rsid w:val="0080749A"/>
    <w:rsid w:val="00821FB8"/>
    <w:rsid w:val="00822ACD"/>
    <w:rsid w:val="008260B9"/>
    <w:rsid w:val="00836F16"/>
    <w:rsid w:val="00836F96"/>
    <w:rsid w:val="00850D77"/>
    <w:rsid w:val="00855C66"/>
    <w:rsid w:val="00866373"/>
    <w:rsid w:val="00871EE4"/>
    <w:rsid w:val="008755C0"/>
    <w:rsid w:val="00881E58"/>
    <w:rsid w:val="0088353F"/>
    <w:rsid w:val="008954DF"/>
    <w:rsid w:val="008A13BD"/>
    <w:rsid w:val="008A23ED"/>
    <w:rsid w:val="008B293F"/>
    <w:rsid w:val="008B7371"/>
    <w:rsid w:val="008C4CED"/>
    <w:rsid w:val="008D04AE"/>
    <w:rsid w:val="008D3DDB"/>
    <w:rsid w:val="008E74C7"/>
    <w:rsid w:val="008F3B04"/>
    <w:rsid w:val="008F573F"/>
    <w:rsid w:val="0090163D"/>
    <w:rsid w:val="009034EC"/>
    <w:rsid w:val="00906ED2"/>
    <w:rsid w:val="0093067A"/>
    <w:rsid w:val="00937D60"/>
    <w:rsid w:val="00941C60"/>
    <w:rsid w:val="00941FD1"/>
    <w:rsid w:val="009544DF"/>
    <w:rsid w:val="00966D42"/>
    <w:rsid w:val="00971689"/>
    <w:rsid w:val="0097170F"/>
    <w:rsid w:val="00973E90"/>
    <w:rsid w:val="00974229"/>
    <w:rsid w:val="00975B07"/>
    <w:rsid w:val="00980B4A"/>
    <w:rsid w:val="00997728"/>
    <w:rsid w:val="009A78D9"/>
    <w:rsid w:val="009ACDF1"/>
    <w:rsid w:val="009B3E8A"/>
    <w:rsid w:val="009C59E9"/>
    <w:rsid w:val="009E3D0A"/>
    <w:rsid w:val="009E51FC"/>
    <w:rsid w:val="009E6B4C"/>
    <w:rsid w:val="009E70DC"/>
    <w:rsid w:val="009F1D28"/>
    <w:rsid w:val="009F3499"/>
    <w:rsid w:val="009F7618"/>
    <w:rsid w:val="00A04D23"/>
    <w:rsid w:val="00A06766"/>
    <w:rsid w:val="00A13765"/>
    <w:rsid w:val="00A171F6"/>
    <w:rsid w:val="00A178EF"/>
    <w:rsid w:val="00A21B12"/>
    <w:rsid w:val="00A22D60"/>
    <w:rsid w:val="00A23F80"/>
    <w:rsid w:val="00A3792D"/>
    <w:rsid w:val="00A46E98"/>
    <w:rsid w:val="00A6352B"/>
    <w:rsid w:val="00A701B5"/>
    <w:rsid w:val="00A714BB"/>
    <w:rsid w:val="00A72DB8"/>
    <w:rsid w:val="00A77147"/>
    <w:rsid w:val="00A9054C"/>
    <w:rsid w:val="00A92D8F"/>
    <w:rsid w:val="00AA06C8"/>
    <w:rsid w:val="00AB2988"/>
    <w:rsid w:val="00AB5DA6"/>
    <w:rsid w:val="00AB7999"/>
    <w:rsid w:val="00ABE426"/>
    <w:rsid w:val="00AC6EFF"/>
    <w:rsid w:val="00AC7004"/>
    <w:rsid w:val="00AD3292"/>
    <w:rsid w:val="00AE1684"/>
    <w:rsid w:val="00AE7AF0"/>
    <w:rsid w:val="00AF5257"/>
    <w:rsid w:val="00B077B6"/>
    <w:rsid w:val="00B11154"/>
    <w:rsid w:val="00B1235D"/>
    <w:rsid w:val="00B13E0F"/>
    <w:rsid w:val="00B203F9"/>
    <w:rsid w:val="00B26206"/>
    <w:rsid w:val="00B500CA"/>
    <w:rsid w:val="00B5635C"/>
    <w:rsid w:val="00B75B58"/>
    <w:rsid w:val="00B77304"/>
    <w:rsid w:val="00B7886F"/>
    <w:rsid w:val="00B86314"/>
    <w:rsid w:val="00B95071"/>
    <w:rsid w:val="00BA1C2E"/>
    <w:rsid w:val="00BC200B"/>
    <w:rsid w:val="00BC4756"/>
    <w:rsid w:val="00BC69A4"/>
    <w:rsid w:val="00BE0680"/>
    <w:rsid w:val="00BE305F"/>
    <w:rsid w:val="00BE7BA3"/>
    <w:rsid w:val="00BF5682"/>
    <w:rsid w:val="00BF7B09"/>
    <w:rsid w:val="00C05260"/>
    <w:rsid w:val="00C076B9"/>
    <w:rsid w:val="00C13356"/>
    <w:rsid w:val="00C20A95"/>
    <w:rsid w:val="00C2692F"/>
    <w:rsid w:val="00C3207C"/>
    <w:rsid w:val="00C37316"/>
    <w:rsid w:val="00C400E1"/>
    <w:rsid w:val="00C40A87"/>
    <w:rsid w:val="00C41187"/>
    <w:rsid w:val="00C4151E"/>
    <w:rsid w:val="00C50FBC"/>
    <w:rsid w:val="00C571A6"/>
    <w:rsid w:val="00C63C31"/>
    <w:rsid w:val="00C757A0"/>
    <w:rsid w:val="00C760DE"/>
    <w:rsid w:val="00C77589"/>
    <w:rsid w:val="00C8194E"/>
    <w:rsid w:val="00C82630"/>
    <w:rsid w:val="00C85B4E"/>
    <w:rsid w:val="00C8DFF2"/>
    <w:rsid w:val="00C907F7"/>
    <w:rsid w:val="00C97677"/>
    <w:rsid w:val="00CA2103"/>
    <w:rsid w:val="00CA434E"/>
    <w:rsid w:val="00CA52D4"/>
    <w:rsid w:val="00CB21E8"/>
    <w:rsid w:val="00CB5560"/>
    <w:rsid w:val="00CB647A"/>
    <w:rsid w:val="00CB6B99"/>
    <w:rsid w:val="00CC63C6"/>
    <w:rsid w:val="00CE077E"/>
    <w:rsid w:val="00CE4C87"/>
    <w:rsid w:val="00CE544A"/>
    <w:rsid w:val="00CE60AB"/>
    <w:rsid w:val="00CF085C"/>
    <w:rsid w:val="00CF55A7"/>
    <w:rsid w:val="00CF7B4A"/>
    <w:rsid w:val="00D11E1C"/>
    <w:rsid w:val="00D15661"/>
    <w:rsid w:val="00D160B0"/>
    <w:rsid w:val="00D16CCB"/>
    <w:rsid w:val="00D17F94"/>
    <w:rsid w:val="00D223FC"/>
    <w:rsid w:val="00D26D1E"/>
    <w:rsid w:val="00D35487"/>
    <w:rsid w:val="00D35D9D"/>
    <w:rsid w:val="00D37B34"/>
    <w:rsid w:val="00D3A639"/>
    <w:rsid w:val="00D418B8"/>
    <w:rsid w:val="00D43967"/>
    <w:rsid w:val="00D474CF"/>
    <w:rsid w:val="00D501D9"/>
    <w:rsid w:val="00D5547E"/>
    <w:rsid w:val="00D566AF"/>
    <w:rsid w:val="00D65A8A"/>
    <w:rsid w:val="00D860E2"/>
    <w:rsid w:val="00D869A1"/>
    <w:rsid w:val="00DA413F"/>
    <w:rsid w:val="00DA4584"/>
    <w:rsid w:val="00DA614B"/>
    <w:rsid w:val="00DB7AD7"/>
    <w:rsid w:val="00DC3060"/>
    <w:rsid w:val="00DC3FD6"/>
    <w:rsid w:val="00DE0FB2"/>
    <w:rsid w:val="00DE3B03"/>
    <w:rsid w:val="00DF093E"/>
    <w:rsid w:val="00DF0BC1"/>
    <w:rsid w:val="00E01F42"/>
    <w:rsid w:val="00E14E9B"/>
    <w:rsid w:val="00E1660C"/>
    <w:rsid w:val="00E206D6"/>
    <w:rsid w:val="00E32FA8"/>
    <w:rsid w:val="00E3366E"/>
    <w:rsid w:val="00E34307"/>
    <w:rsid w:val="00E43971"/>
    <w:rsid w:val="00E4609F"/>
    <w:rsid w:val="00E47078"/>
    <w:rsid w:val="00E50B8B"/>
    <w:rsid w:val="00E52086"/>
    <w:rsid w:val="00E543A6"/>
    <w:rsid w:val="00E60479"/>
    <w:rsid w:val="00E61D73"/>
    <w:rsid w:val="00E658B1"/>
    <w:rsid w:val="00E73684"/>
    <w:rsid w:val="00E818D6"/>
    <w:rsid w:val="00E82477"/>
    <w:rsid w:val="00E87F7A"/>
    <w:rsid w:val="00E906E9"/>
    <w:rsid w:val="00E94B3E"/>
    <w:rsid w:val="00E96BD7"/>
    <w:rsid w:val="00EA0DB1"/>
    <w:rsid w:val="00EA0EE9"/>
    <w:rsid w:val="00EC8B4F"/>
    <w:rsid w:val="00ED52CA"/>
    <w:rsid w:val="00ED5860"/>
    <w:rsid w:val="00EE35C9"/>
    <w:rsid w:val="00EE3B44"/>
    <w:rsid w:val="00F01B98"/>
    <w:rsid w:val="00F05ECA"/>
    <w:rsid w:val="00F07097"/>
    <w:rsid w:val="00F1270B"/>
    <w:rsid w:val="00F131E0"/>
    <w:rsid w:val="00F26E21"/>
    <w:rsid w:val="00F35197"/>
    <w:rsid w:val="00F3566E"/>
    <w:rsid w:val="00F375FB"/>
    <w:rsid w:val="00F41AC1"/>
    <w:rsid w:val="00F4367A"/>
    <w:rsid w:val="00F445B1"/>
    <w:rsid w:val="00F45CD4"/>
    <w:rsid w:val="00F666F3"/>
    <w:rsid w:val="00F66DCA"/>
    <w:rsid w:val="00F671B0"/>
    <w:rsid w:val="00F74F53"/>
    <w:rsid w:val="00F7606D"/>
    <w:rsid w:val="00F81670"/>
    <w:rsid w:val="00F82024"/>
    <w:rsid w:val="00F865A3"/>
    <w:rsid w:val="00F95BC9"/>
    <w:rsid w:val="00FA624C"/>
    <w:rsid w:val="00FB3B71"/>
    <w:rsid w:val="00FC64C6"/>
    <w:rsid w:val="00FD0FAC"/>
    <w:rsid w:val="00FD1DFA"/>
    <w:rsid w:val="00FD2D8D"/>
    <w:rsid w:val="00FD4966"/>
    <w:rsid w:val="00FD6E64"/>
    <w:rsid w:val="00FE51E3"/>
    <w:rsid w:val="00FE57DC"/>
    <w:rsid w:val="00FF095A"/>
    <w:rsid w:val="00FF5C4F"/>
    <w:rsid w:val="00FF6F3C"/>
    <w:rsid w:val="010BDBE3"/>
    <w:rsid w:val="0117B82E"/>
    <w:rsid w:val="011813F4"/>
    <w:rsid w:val="01213CA1"/>
    <w:rsid w:val="01392205"/>
    <w:rsid w:val="013F27F8"/>
    <w:rsid w:val="015692F1"/>
    <w:rsid w:val="015BADC4"/>
    <w:rsid w:val="017B43CC"/>
    <w:rsid w:val="01966801"/>
    <w:rsid w:val="01966B8E"/>
    <w:rsid w:val="019E9F16"/>
    <w:rsid w:val="01A383FE"/>
    <w:rsid w:val="01B52100"/>
    <w:rsid w:val="01BFCB00"/>
    <w:rsid w:val="01D2F972"/>
    <w:rsid w:val="01DAF13C"/>
    <w:rsid w:val="01E46F77"/>
    <w:rsid w:val="020DC7F0"/>
    <w:rsid w:val="021845B9"/>
    <w:rsid w:val="0225DE54"/>
    <w:rsid w:val="0227BD45"/>
    <w:rsid w:val="0231E2DA"/>
    <w:rsid w:val="0237B2FD"/>
    <w:rsid w:val="023BBD47"/>
    <w:rsid w:val="024C07DF"/>
    <w:rsid w:val="0267E510"/>
    <w:rsid w:val="026CB22D"/>
    <w:rsid w:val="02716B1A"/>
    <w:rsid w:val="02763E72"/>
    <w:rsid w:val="027951BD"/>
    <w:rsid w:val="02AA8252"/>
    <w:rsid w:val="02B3E455"/>
    <w:rsid w:val="02E4AAD2"/>
    <w:rsid w:val="02E57533"/>
    <w:rsid w:val="02EAD8AE"/>
    <w:rsid w:val="02ECCC1C"/>
    <w:rsid w:val="02FC4936"/>
    <w:rsid w:val="0301CB44"/>
    <w:rsid w:val="03046E1E"/>
    <w:rsid w:val="030A0C41"/>
    <w:rsid w:val="030C7A7D"/>
    <w:rsid w:val="030CF1C2"/>
    <w:rsid w:val="031CF5B2"/>
    <w:rsid w:val="0325C9EE"/>
    <w:rsid w:val="03458BED"/>
    <w:rsid w:val="034A190F"/>
    <w:rsid w:val="034FF989"/>
    <w:rsid w:val="0353AD96"/>
    <w:rsid w:val="036B3C46"/>
    <w:rsid w:val="0382D9F6"/>
    <w:rsid w:val="038AB3AF"/>
    <w:rsid w:val="038DCFE8"/>
    <w:rsid w:val="039834BF"/>
    <w:rsid w:val="03A981C0"/>
    <w:rsid w:val="03AC0C7A"/>
    <w:rsid w:val="03B3902E"/>
    <w:rsid w:val="03C1F03C"/>
    <w:rsid w:val="03C6935E"/>
    <w:rsid w:val="03CCA8AC"/>
    <w:rsid w:val="03D1DAFC"/>
    <w:rsid w:val="03F14A15"/>
    <w:rsid w:val="03F7AFCA"/>
    <w:rsid w:val="03FAE97E"/>
    <w:rsid w:val="03FF2405"/>
    <w:rsid w:val="04282DE0"/>
    <w:rsid w:val="04395B79"/>
    <w:rsid w:val="046139D9"/>
    <w:rsid w:val="046C1E96"/>
    <w:rsid w:val="046D28B9"/>
    <w:rsid w:val="047F8B27"/>
    <w:rsid w:val="047FC81C"/>
    <w:rsid w:val="0482501F"/>
    <w:rsid w:val="04889C7D"/>
    <w:rsid w:val="04C5484D"/>
    <w:rsid w:val="04C9C032"/>
    <w:rsid w:val="04E1C47D"/>
    <w:rsid w:val="04F96437"/>
    <w:rsid w:val="0502DCDD"/>
    <w:rsid w:val="0514EF83"/>
    <w:rsid w:val="05229682"/>
    <w:rsid w:val="052E56D6"/>
    <w:rsid w:val="0532A218"/>
    <w:rsid w:val="05336798"/>
    <w:rsid w:val="0537D09D"/>
    <w:rsid w:val="058A8AC0"/>
    <w:rsid w:val="059CE178"/>
    <w:rsid w:val="05B19B66"/>
    <w:rsid w:val="05B448EA"/>
    <w:rsid w:val="05BE566F"/>
    <w:rsid w:val="05C6FBE8"/>
    <w:rsid w:val="05C76BDC"/>
    <w:rsid w:val="05CB162F"/>
    <w:rsid w:val="05D9579D"/>
    <w:rsid w:val="05E54416"/>
    <w:rsid w:val="05E6FF02"/>
    <w:rsid w:val="05EC3277"/>
    <w:rsid w:val="05F8EB24"/>
    <w:rsid w:val="06020DB3"/>
    <w:rsid w:val="062139B9"/>
    <w:rsid w:val="062B02FA"/>
    <w:rsid w:val="0630C619"/>
    <w:rsid w:val="0633E891"/>
    <w:rsid w:val="063605CF"/>
    <w:rsid w:val="06380576"/>
    <w:rsid w:val="063A8447"/>
    <w:rsid w:val="06401E84"/>
    <w:rsid w:val="06425DE6"/>
    <w:rsid w:val="0650ECC6"/>
    <w:rsid w:val="0671C138"/>
    <w:rsid w:val="067260B4"/>
    <w:rsid w:val="0673F86A"/>
    <w:rsid w:val="0681EBC4"/>
    <w:rsid w:val="068D5598"/>
    <w:rsid w:val="068FCEE8"/>
    <w:rsid w:val="06A2F4BA"/>
    <w:rsid w:val="06AC453F"/>
    <w:rsid w:val="06B5328B"/>
    <w:rsid w:val="06BA622B"/>
    <w:rsid w:val="06C06032"/>
    <w:rsid w:val="06C46D84"/>
    <w:rsid w:val="06DA767B"/>
    <w:rsid w:val="06F80D32"/>
    <w:rsid w:val="06FFA878"/>
    <w:rsid w:val="07148FD7"/>
    <w:rsid w:val="072792FF"/>
    <w:rsid w:val="073CCD35"/>
    <w:rsid w:val="0743FFDC"/>
    <w:rsid w:val="074912C2"/>
    <w:rsid w:val="074B5025"/>
    <w:rsid w:val="0787EC27"/>
    <w:rsid w:val="079E1EFF"/>
    <w:rsid w:val="07BA08E8"/>
    <w:rsid w:val="07CBCD8D"/>
    <w:rsid w:val="07CFB8F2"/>
    <w:rsid w:val="07E4639F"/>
    <w:rsid w:val="07F5C8AC"/>
    <w:rsid w:val="07F78CA2"/>
    <w:rsid w:val="080B8725"/>
    <w:rsid w:val="081B0B1D"/>
    <w:rsid w:val="08214A6B"/>
    <w:rsid w:val="08298396"/>
    <w:rsid w:val="082CE8E5"/>
    <w:rsid w:val="0860D16D"/>
    <w:rsid w:val="08674FDE"/>
    <w:rsid w:val="086DF99A"/>
    <w:rsid w:val="087646DC"/>
    <w:rsid w:val="089B0CEB"/>
    <w:rsid w:val="08B8B1D8"/>
    <w:rsid w:val="08BA8B4B"/>
    <w:rsid w:val="08C111B3"/>
    <w:rsid w:val="08CC08FA"/>
    <w:rsid w:val="08CC21AD"/>
    <w:rsid w:val="08D29528"/>
    <w:rsid w:val="08DF3EA9"/>
    <w:rsid w:val="08E57FF6"/>
    <w:rsid w:val="08F3E4B6"/>
    <w:rsid w:val="09025531"/>
    <w:rsid w:val="0924000E"/>
    <w:rsid w:val="093F667D"/>
    <w:rsid w:val="09405977"/>
    <w:rsid w:val="0955D949"/>
    <w:rsid w:val="095B8EA7"/>
    <w:rsid w:val="095C0DA0"/>
    <w:rsid w:val="095DAA1F"/>
    <w:rsid w:val="0967F141"/>
    <w:rsid w:val="0974813B"/>
    <w:rsid w:val="09813A70"/>
    <w:rsid w:val="098E6AEA"/>
    <w:rsid w:val="09AA377C"/>
    <w:rsid w:val="09C9AF8A"/>
    <w:rsid w:val="09C9FCCF"/>
    <w:rsid w:val="09D5CB4E"/>
    <w:rsid w:val="09EB27F9"/>
    <w:rsid w:val="09F58A55"/>
    <w:rsid w:val="09FAD7CF"/>
    <w:rsid w:val="0A042F4B"/>
    <w:rsid w:val="0A0A9222"/>
    <w:rsid w:val="0A0BDAA9"/>
    <w:rsid w:val="0A0DCB2B"/>
    <w:rsid w:val="0A0F8CFD"/>
    <w:rsid w:val="0A1782D8"/>
    <w:rsid w:val="0A18A6C7"/>
    <w:rsid w:val="0A2356D0"/>
    <w:rsid w:val="0A3EB61E"/>
    <w:rsid w:val="0A4A356E"/>
    <w:rsid w:val="0A4D3560"/>
    <w:rsid w:val="0A5AB3F2"/>
    <w:rsid w:val="0A5F8EB1"/>
    <w:rsid w:val="0A68D56A"/>
    <w:rsid w:val="0A8761CC"/>
    <w:rsid w:val="0A8E9377"/>
    <w:rsid w:val="0A91C792"/>
    <w:rsid w:val="0AE3707F"/>
    <w:rsid w:val="0AE707D1"/>
    <w:rsid w:val="0AF25A63"/>
    <w:rsid w:val="0B0815BC"/>
    <w:rsid w:val="0B0D2A40"/>
    <w:rsid w:val="0B0F91FC"/>
    <w:rsid w:val="0B173003"/>
    <w:rsid w:val="0B1F35F0"/>
    <w:rsid w:val="0B2DA935"/>
    <w:rsid w:val="0B3940B7"/>
    <w:rsid w:val="0B4D0DF6"/>
    <w:rsid w:val="0B588B58"/>
    <w:rsid w:val="0B63708C"/>
    <w:rsid w:val="0B6BE231"/>
    <w:rsid w:val="0B776AC3"/>
    <w:rsid w:val="0B78DA43"/>
    <w:rsid w:val="0BA2235D"/>
    <w:rsid w:val="0BB93D22"/>
    <w:rsid w:val="0BBC6256"/>
    <w:rsid w:val="0BC12E20"/>
    <w:rsid w:val="0BC9E979"/>
    <w:rsid w:val="0BE8299F"/>
    <w:rsid w:val="0BEAC1E4"/>
    <w:rsid w:val="0BF1045C"/>
    <w:rsid w:val="0C139947"/>
    <w:rsid w:val="0C19A668"/>
    <w:rsid w:val="0C22D8E8"/>
    <w:rsid w:val="0C234D8E"/>
    <w:rsid w:val="0C26F2AB"/>
    <w:rsid w:val="0C2C23F1"/>
    <w:rsid w:val="0C2D97F3"/>
    <w:rsid w:val="0C42E6AD"/>
    <w:rsid w:val="0C57FD5E"/>
    <w:rsid w:val="0C5B2285"/>
    <w:rsid w:val="0C629E74"/>
    <w:rsid w:val="0C64425C"/>
    <w:rsid w:val="0C719022"/>
    <w:rsid w:val="0C7F40E0"/>
    <w:rsid w:val="0C91FE0E"/>
    <w:rsid w:val="0C93AE62"/>
    <w:rsid w:val="0CDA669F"/>
    <w:rsid w:val="0CDDEDB6"/>
    <w:rsid w:val="0CEDA66F"/>
    <w:rsid w:val="0CF7364E"/>
    <w:rsid w:val="0CFF40ED"/>
    <w:rsid w:val="0D196F3D"/>
    <w:rsid w:val="0D1AFB94"/>
    <w:rsid w:val="0D1DA7F4"/>
    <w:rsid w:val="0D3B880C"/>
    <w:rsid w:val="0D437B6B"/>
    <w:rsid w:val="0D4561A2"/>
    <w:rsid w:val="0D508218"/>
    <w:rsid w:val="0D692BD1"/>
    <w:rsid w:val="0D6E188F"/>
    <w:rsid w:val="0D7F4E31"/>
    <w:rsid w:val="0D84D622"/>
    <w:rsid w:val="0D8E1894"/>
    <w:rsid w:val="0D99BC15"/>
    <w:rsid w:val="0DD0B1B0"/>
    <w:rsid w:val="0DE2C5F1"/>
    <w:rsid w:val="0DFF51C0"/>
    <w:rsid w:val="0E0AB1FA"/>
    <w:rsid w:val="0E0D6083"/>
    <w:rsid w:val="0E1138BA"/>
    <w:rsid w:val="0E17781D"/>
    <w:rsid w:val="0E1A0420"/>
    <w:rsid w:val="0E266945"/>
    <w:rsid w:val="0E433D69"/>
    <w:rsid w:val="0E485715"/>
    <w:rsid w:val="0E4F0293"/>
    <w:rsid w:val="0E61F238"/>
    <w:rsid w:val="0E71C103"/>
    <w:rsid w:val="0E8905BA"/>
    <w:rsid w:val="0E952257"/>
    <w:rsid w:val="0E9863A1"/>
    <w:rsid w:val="0E9BE5DF"/>
    <w:rsid w:val="0E9C4AAC"/>
    <w:rsid w:val="0EA5C0BC"/>
    <w:rsid w:val="0EC1080C"/>
    <w:rsid w:val="0ED27A6F"/>
    <w:rsid w:val="0ED66322"/>
    <w:rsid w:val="0EDFAFAA"/>
    <w:rsid w:val="0EE00D93"/>
    <w:rsid w:val="0EE73881"/>
    <w:rsid w:val="0EEB5C6B"/>
    <w:rsid w:val="0EF14880"/>
    <w:rsid w:val="0EF6C7F3"/>
    <w:rsid w:val="0EFBA2A9"/>
    <w:rsid w:val="0F0AD1BB"/>
    <w:rsid w:val="0F1870D8"/>
    <w:rsid w:val="0F27185F"/>
    <w:rsid w:val="0F2C8F47"/>
    <w:rsid w:val="0F2EC940"/>
    <w:rsid w:val="0F3A2DBF"/>
    <w:rsid w:val="0F3E8150"/>
    <w:rsid w:val="0F48152B"/>
    <w:rsid w:val="0F5AC894"/>
    <w:rsid w:val="0F5ADE11"/>
    <w:rsid w:val="0F6B58BB"/>
    <w:rsid w:val="0F6F4468"/>
    <w:rsid w:val="0F800FC0"/>
    <w:rsid w:val="0F88524D"/>
    <w:rsid w:val="0F8D3071"/>
    <w:rsid w:val="0F8E3EAD"/>
    <w:rsid w:val="0F90808E"/>
    <w:rsid w:val="0F9B4949"/>
    <w:rsid w:val="0FA930E4"/>
    <w:rsid w:val="0FC0AA8E"/>
    <w:rsid w:val="0FD2D67C"/>
    <w:rsid w:val="0FD8F5C0"/>
    <w:rsid w:val="0FE03D25"/>
    <w:rsid w:val="0FEF5718"/>
    <w:rsid w:val="100AD8FE"/>
    <w:rsid w:val="10237982"/>
    <w:rsid w:val="102FAFEA"/>
    <w:rsid w:val="1036E1AF"/>
    <w:rsid w:val="10412AF7"/>
    <w:rsid w:val="10414120"/>
    <w:rsid w:val="104CBBB4"/>
    <w:rsid w:val="105328C5"/>
    <w:rsid w:val="105E2D15"/>
    <w:rsid w:val="105EB7F1"/>
    <w:rsid w:val="105F5AB5"/>
    <w:rsid w:val="1070CC78"/>
    <w:rsid w:val="1072D703"/>
    <w:rsid w:val="108EB270"/>
    <w:rsid w:val="1091816E"/>
    <w:rsid w:val="109DD875"/>
    <w:rsid w:val="10B01B70"/>
    <w:rsid w:val="10BF5DCE"/>
    <w:rsid w:val="10C3BB0F"/>
    <w:rsid w:val="10CCAC57"/>
    <w:rsid w:val="10F1E30D"/>
    <w:rsid w:val="10F35A23"/>
    <w:rsid w:val="10F42141"/>
    <w:rsid w:val="10F5AE35"/>
    <w:rsid w:val="11058FBB"/>
    <w:rsid w:val="110957C6"/>
    <w:rsid w:val="113995EC"/>
    <w:rsid w:val="11496836"/>
    <w:rsid w:val="1182BED4"/>
    <w:rsid w:val="118C7099"/>
    <w:rsid w:val="11945CED"/>
    <w:rsid w:val="11A045BF"/>
    <w:rsid w:val="11B9D5FD"/>
    <w:rsid w:val="11CDC757"/>
    <w:rsid w:val="11D3E36E"/>
    <w:rsid w:val="11DD1181"/>
    <w:rsid w:val="11E5606F"/>
    <w:rsid w:val="11F19368"/>
    <w:rsid w:val="11F909ED"/>
    <w:rsid w:val="11FE4B13"/>
    <w:rsid w:val="12059BE5"/>
    <w:rsid w:val="120C9390"/>
    <w:rsid w:val="121B72B6"/>
    <w:rsid w:val="1229F25A"/>
    <w:rsid w:val="123B1F14"/>
    <w:rsid w:val="123C9CF4"/>
    <w:rsid w:val="123DA291"/>
    <w:rsid w:val="125E4954"/>
    <w:rsid w:val="1266F30E"/>
    <w:rsid w:val="1276E59D"/>
    <w:rsid w:val="12852AA3"/>
    <w:rsid w:val="129BAB50"/>
    <w:rsid w:val="12AC0370"/>
    <w:rsid w:val="12AE6895"/>
    <w:rsid w:val="12B01CB7"/>
    <w:rsid w:val="12BE8469"/>
    <w:rsid w:val="12DC5930"/>
    <w:rsid w:val="12DD5CD3"/>
    <w:rsid w:val="12EF4225"/>
    <w:rsid w:val="12F06708"/>
    <w:rsid w:val="12FD1D79"/>
    <w:rsid w:val="13251F7F"/>
    <w:rsid w:val="13460030"/>
    <w:rsid w:val="1348EF0E"/>
    <w:rsid w:val="13639D3D"/>
    <w:rsid w:val="136DCEF2"/>
    <w:rsid w:val="137131F7"/>
    <w:rsid w:val="13725BEF"/>
    <w:rsid w:val="1390ABE8"/>
    <w:rsid w:val="139C1DC4"/>
    <w:rsid w:val="13AB1191"/>
    <w:rsid w:val="13B1CBAE"/>
    <w:rsid w:val="13B2BCEF"/>
    <w:rsid w:val="13C65332"/>
    <w:rsid w:val="13DE35BC"/>
    <w:rsid w:val="13E3A6E6"/>
    <w:rsid w:val="14019638"/>
    <w:rsid w:val="14183085"/>
    <w:rsid w:val="142AD5C1"/>
    <w:rsid w:val="14377BB1"/>
    <w:rsid w:val="14638E13"/>
    <w:rsid w:val="14643FE7"/>
    <w:rsid w:val="1475E2E4"/>
    <w:rsid w:val="1478B090"/>
    <w:rsid w:val="147ED17B"/>
    <w:rsid w:val="148945A4"/>
    <w:rsid w:val="14A2D3D2"/>
    <w:rsid w:val="14A3E710"/>
    <w:rsid w:val="14ACE18E"/>
    <w:rsid w:val="14AEED79"/>
    <w:rsid w:val="14BE7437"/>
    <w:rsid w:val="14DBC1B9"/>
    <w:rsid w:val="14DF1F7A"/>
    <w:rsid w:val="14E7E475"/>
    <w:rsid w:val="14E9F8B0"/>
    <w:rsid w:val="1503210D"/>
    <w:rsid w:val="150F47D9"/>
    <w:rsid w:val="1528AB84"/>
    <w:rsid w:val="1532A9FB"/>
    <w:rsid w:val="15492E83"/>
    <w:rsid w:val="156D7FD7"/>
    <w:rsid w:val="1577676F"/>
    <w:rsid w:val="1580946C"/>
    <w:rsid w:val="1584243A"/>
    <w:rsid w:val="15A7F5F7"/>
    <w:rsid w:val="15B5B05A"/>
    <w:rsid w:val="15CFA6F9"/>
    <w:rsid w:val="15D15992"/>
    <w:rsid w:val="15D552B1"/>
    <w:rsid w:val="15E0D839"/>
    <w:rsid w:val="15EDE78E"/>
    <w:rsid w:val="15F88F2F"/>
    <w:rsid w:val="15FA571F"/>
    <w:rsid w:val="1602C4CA"/>
    <w:rsid w:val="160EF410"/>
    <w:rsid w:val="1620C7FE"/>
    <w:rsid w:val="1624C545"/>
    <w:rsid w:val="162B1ED3"/>
    <w:rsid w:val="16396CE0"/>
    <w:rsid w:val="163A5CE4"/>
    <w:rsid w:val="164819E8"/>
    <w:rsid w:val="164A1173"/>
    <w:rsid w:val="164B1ABB"/>
    <w:rsid w:val="164B80A4"/>
    <w:rsid w:val="1659CC6A"/>
    <w:rsid w:val="166146CF"/>
    <w:rsid w:val="1663E173"/>
    <w:rsid w:val="166DF2D5"/>
    <w:rsid w:val="167B8B21"/>
    <w:rsid w:val="167B9C58"/>
    <w:rsid w:val="16A331C7"/>
    <w:rsid w:val="16B8B7C0"/>
    <w:rsid w:val="16C13BAC"/>
    <w:rsid w:val="16F6E390"/>
    <w:rsid w:val="170754FF"/>
    <w:rsid w:val="17208EDA"/>
    <w:rsid w:val="1729EAB4"/>
    <w:rsid w:val="17323F86"/>
    <w:rsid w:val="173AF274"/>
    <w:rsid w:val="173E9FF7"/>
    <w:rsid w:val="17574C1C"/>
    <w:rsid w:val="17594013"/>
    <w:rsid w:val="17626066"/>
    <w:rsid w:val="1763D003"/>
    <w:rsid w:val="176B7838"/>
    <w:rsid w:val="17962780"/>
    <w:rsid w:val="17992EB7"/>
    <w:rsid w:val="179B043B"/>
    <w:rsid w:val="17A854AA"/>
    <w:rsid w:val="17B442C9"/>
    <w:rsid w:val="17BE29B6"/>
    <w:rsid w:val="17C0E666"/>
    <w:rsid w:val="17E0DCBC"/>
    <w:rsid w:val="17E2BB34"/>
    <w:rsid w:val="17EF7006"/>
    <w:rsid w:val="17F05148"/>
    <w:rsid w:val="17F7211C"/>
    <w:rsid w:val="180DFB0E"/>
    <w:rsid w:val="180FE086"/>
    <w:rsid w:val="18260BF7"/>
    <w:rsid w:val="18284DE1"/>
    <w:rsid w:val="182B261F"/>
    <w:rsid w:val="18329B77"/>
    <w:rsid w:val="183746C7"/>
    <w:rsid w:val="185739CE"/>
    <w:rsid w:val="18754CBA"/>
    <w:rsid w:val="189D5D36"/>
    <w:rsid w:val="18A597BF"/>
    <w:rsid w:val="18A7D708"/>
    <w:rsid w:val="18A7F84A"/>
    <w:rsid w:val="18A9C6F1"/>
    <w:rsid w:val="18BE6D4E"/>
    <w:rsid w:val="18C92D12"/>
    <w:rsid w:val="18E79A15"/>
    <w:rsid w:val="18E9E10B"/>
    <w:rsid w:val="18F1941D"/>
    <w:rsid w:val="18FC4A00"/>
    <w:rsid w:val="190ABC7A"/>
    <w:rsid w:val="190C0532"/>
    <w:rsid w:val="1937E273"/>
    <w:rsid w:val="19382A66"/>
    <w:rsid w:val="194A8F33"/>
    <w:rsid w:val="194C21B3"/>
    <w:rsid w:val="19721F9F"/>
    <w:rsid w:val="1998E791"/>
    <w:rsid w:val="199C9E02"/>
    <w:rsid w:val="19AAF74A"/>
    <w:rsid w:val="19B48DD9"/>
    <w:rsid w:val="19BBA8C6"/>
    <w:rsid w:val="19C60B28"/>
    <w:rsid w:val="19CAC1F9"/>
    <w:rsid w:val="19CD6B52"/>
    <w:rsid w:val="19D27FF6"/>
    <w:rsid w:val="19D3AC1E"/>
    <w:rsid w:val="19DEB2BA"/>
    <w:rsid w:val="19E071F6"/>
    <w:rsid w:val="19EE8F27"/>
    <w:rsid w:val="19EEFF55"/>
    <w:rsid w:val="19F2CD7E"/>
    <w:rsid w:val="19FC1CA7"/>
    <w:rsid w:val="1A195A60"/>
    <w:rsid w:val="1A19E4C9"/>
    <w:rsid w:val="1A1DFD7E"/>
    <w:rsid w:val="1A25C758"/>
    <w:rsid w:val="1A315A8A"/>
    <w:rsid w:val="1A4223EF"/>
    <w:rsid w:val="1A46B8C3"/>
    <w:rsid w:val="1A5B3EE4"/>
    <w:rsid w:val="1A62B859"/>
    <w:rsid w:val="1A6867A7"/>
    <w:rsid w:val="1A980A14"/>
    <w:rsid w:val="1AA89AA9"/>
    <w:rsid w:val="1ABBF1A7"/>
    <w:rsid w:val="1ABE7975"/>
    <w:rsid w:val="1AC38791"/>
    <w:rsid w:val="1AC5F28F"/>
    <w:rsid w:val="1AED330E"/>
    <w:rsid w:val="1B02C984"/>
    <w:rsid w:val="1B089814"/>
    <w:rsid w:val="1B0EB5F8"/>
    <w:rsid w:val="1B118485"/>
    <w:rsid w:val="1B18DEDF"/>
    <w:rsid w:val="1B3B61B0"/>
    <w:rsid w:val="1B4FFFE1"/>
    <w:rsid w:val="1B5754C4"/>
    <w:rsid w:val="1B786B83"/>
    <w:rsid w:val="1B84E751"/>
    <w:rsid w:val="1B857CFF"/>
    <w:rsid w:val="1B8FC1E4"/>
    <w:rsid w:val="1BA2A100"/>
    <w:rsid w:val="1BA86F74"/>
    <w:rsid w:val="1BBA0DDE"/>
    <w:rsid w:val="1BCEF78C"/>
    <w:rsid w:val="1BD29D63"/>
    <w:rsid w:val="1BD6A657"/>
    <w:rsid w:val="1BD796CE"/>
    <w:rsid w:val="1BEEB505"/>
    <w:rsid w:val="1C0E7F2D"/>
    <w:rsid w:val="1C2181CD"/>
    <w:rsid w:val="1C2CA4F2"/>
    <w:rsid w:val="1C2E3E46"/>
    <w:rsid w:val="1C349F13"/>
    <w:rsid w:val="1C3ACAAA"/>
    <w:rsid w:val="1C425E8B"/>
    <w:rsid w:val="1C590BDF"/>
    <w:rsid w:val="1C65AA2B"/>
    <w:rsid w:val="1C6E8B8F"/>
    <w:rsid w:val="1C7E45EF"/>
    <w:rsid w:val="1C817CC6"/>
    <w:rsid w:val="1C81E3B6"/>
    <w:rsid w:val="1CA46875"/>
    <w:rsid w:val="1CA9042B"/>
    <w:rsid w:val="1CBEBC84"/>
    <w:rsid w:val="1CCCC626"/>
    <w:rsid w:val="1CD08853"/>
    <w:rsid w:val="1CDFA639"/>
    <w:rsid w:val="1CEF95BD"/>
    <w:rsid w:val="1CFC77B2"/>
    <w:rsid w:val="1D033A96"/>
    <w:rsid w:val="1D063BE4"/>
    <w:rsid w:val="1D204090"/>
    <w:rsid w:val="1D2967B9"/>
    <w:rsid w:val="1D5D5349"/>
    <w:rsid w:val="1D739692"/>
    <w:rsid w:val="1D77D6CF"/>
    <w:rsid w:val="1D962419"/>
    <w:rsid w:val="1DBFD728"/>
    <w:rsid w:val="1DC2ED6F"/>
    <w:rsid w:val="1DCBA800"/>
    <w:rsid w:val="1DD913FC"/>
    <w:rsid w:val="1DFD63E2"/>
    <w:rsid w:val="1E0AE913"/>
    <w:rsid w:val="1E12C0D8"/>
    <w:rsid w:val="1E3DA462"/>
    <w:rsid w:val="1E3E65BB"/>
    <w:rsid w:val="1E413497"/>
    <w:rsid w:val="1E4223D5"/>
    <w:rsid w:val="1E57B33A"/>
    <w:rsid w:val="1E698AF6"/>
    <w:rsid w:val="1E6E9FF7"/>
    <w:rsid w:val="1E8B661E"/>
    <w:rsid w:val="1E8CFBA5"/>
    <w:rsid w:val="1E9802D8"/>
    <w:rsid w:val="1E994992"/>
    <w:rsid w:val="1EA9AF79"/>
    <w:rsid w:val="1EC8E81A"/>
    <w:rsid w:val="1ED735C7"/>
    <w:rsid w:val="1EDE91CD"/>
    <w:rsid w:val="1F0F6CD0"/>
    <w:rsid w:val="1F11A9A9"/>
    <w:rsid w:val="1F32AE47"/>
    <w:rsid w:val="1F367FC2"/>
    <w:rsid w:val="1F36D26A"/>
    <w:rsid w:val="1F60D5A1"/>
    <w:rsid w:val="1F6696D7"/>
    <w:rsid w:val="1F8711A6"/>
    <w:rsid w:val="1F8CA2CB"/>
    <w:rsid w:val="1F8E2B70"/>
    <w:rsid w:val="1FA038FA"/>
    <w:rsid w:val="1FA556E3"/>
    <w:rsid w:val="1FB9C8F7"/>
    <w:rsid w:val="1FD00A2C"/>
    <w:rsid w:val="1FD51947"/>
    <w:rsid w:val="1FEFFA31"/>
    <w:rsid w:val="1FF2B50C"/>
    <w:rsid w:val="1FFAFEBF"/>
    <w:rsid w:val="2002CDD7"/>
    <w:rsid w:val="20055B57"/>
    <w:rsid w:val="200618EE"/>
    <w:rsid w:val="20130216"/>
    <w:rsid w:val="2027367F"/>
    <w:rsid w:val="202E9AD2"/>
    <w:rsid w:val="202EE0A7"/>
    <w:rsid w:val="2035E236"/>
    <w:rsid w:val="20401F98"/>
    <w:rsid w:val="20492E11"/>
    <w:rsid w:val="204ED415"/>
    <w:rsid w:val="20670595"/>
    <w:rsid w:val="2080C6E7"/>
    <w:rsid w:val="20A406DE"/>
    <w:rsid w:val="20A6AE60"/>
    <w:rsid w:val="20A7F3C3"/>
    <w:rsid w:val="20BEDDE3"/>
    <w:rsid w:val="20CEF98D"/>
    <w:rsid w:val="20ED8554"/>
    <w:rsid w:val="20F7584B"/>
    <w:rsid w:val="20F86301"/>
    <w:rsid w:val="20FBEC9D"/>
    <w:rsid w:val="21061DD1"/>
    <w:rsid w:val="21087380"/>
    <w:rsid w:val="213C095B"/>
    <w:rsid w:val="2146A3F0"/>
    <w:rsid w:val="21471607"/>
    <w:rsid w:val="2153A4A6"/>
    <w:rsid w:val="2173F503"/>
    <w:rsid w:val="217B02BD"/>
    <w:rsid w:val="218133A0"/>
    <w:rsid w:val="218FFA43"/>
    <w:rsid w:val="21918AF3"/>
    <w:rsid w:val="2195C5A3"/>
    <w:rsid w:val="2196FC99"/>
    <w:rsid w:val="21A12BB8"/>
    <w:rsid w:val="21C9556B"/>
    <w:rsid w:val="21CDAB45"/>
    <w:rsid w:val="21D4B801"/>
    <w:rsid w:val="21E0FE39"/>
    <w:rsid w:val="21E70935"/>
    <w:rsid w:val="22193634"/>
    <w:rsid w:val="221C9748"/>
    <w:rsid w:val="221F85AA"/>
    <w:rsid w:val="222D09C4"/>
    <w:rsid w:val="2234CE8D"/>
    <w:rsid w:val="2235BFA5"/>
    <w:rsid w:val="22366299"/>
    <w:rsid w:val="22474412"/>
    <w:rsid w:val="2247FE7A"/>
    <w:rsid w:val="22532F66"/>
    <w:rsid w:val="226B5202"/>
    <w:rsid w:val="227E292D"/>
    <w:rsid w:val="22809083"/>
    <w:rsid w:val="22881C25"/>
    <w:rsid w:val="228B27CB"/>
    <w:rsid w:val="22BC2CB1"/>
    <w:rsid w:val="22D8DA27"/>
    <w:rsid w:val="23003CCA"/>
    <w:rsid w:val="230B5BAE"/>
    <w:rsid w:val="2320D3EE"/>
    <w:rsid w:val="2321DA44"/>
    <w:rsid w:val="2324943F"/>
    <w:rsid w:val="232556A0"/>
    <w:rsid w:val="2332C69C"/>
    <w:rsid w:val="2333270D"/>
    <w:rsid w:val="233743BC"/>
    <w:rsid w:val="233D6446"/>
    <w:rsid w:val="233F96F0"/>
    <w:rsid w:val="23465BF6"/>
    <w:rsid w:val="234CAF94"/>
    <w:rsid w:val="2351E9C9"/>
    <w:rsid w:val="235ED741"/>
    <w:rsid w:val="236A35CE"/>
    <w:rsid w:val="236BBFAA"/>
    <w:rsid w:val="237A822C"/>
    <w:rsid w:val="237C36FE"/>
    <w:rsid w:val="237DCE3F"/>
    <w:rsid w:val="23980CC5"/>
    <w:rsid w:val="23ABB767"/>
    <w:rsid w:val="23B867A9"/>
    <w:rsid w:val="23C20FFF"/>
    <w:rsid w:val="23DB901D"/>
    <w:rsid w:val="23E4D03C"/>
    <w:rsid w:val="23FDDBB0"/>
    <w:rsid w:val="24123EF4"/>
    <w:rsid w:val="24125D5E"/>
    <w:rsid w:val="2419721D"/>
    <w:rsid w:val="241C68FB"/>
    <w:rsid w:val="2427A702"/>
    <w:rsid w:val="242A4384"/>
    <w:rsid w:val="242E98FF"/>
    <w:rsid w:val="2438C1DF"/>
    <w:rsid w:val="24570F27"/>
    <w:rsid w:val="24580F0C"/>
    <w:rsid w:val="246626DD"/>
    <w:rsid w:val="246DAF55"/>
    <w:rsid w:val="2487C76B"/>
    <w:rsid w:val="248B4938"/>
    <w:rsid w:val="248BCF84"/>
    <w:rsid w:val="248CCA40"/>
    <w:rsid w:val="24AC2421"/>
    <w:rsid w:val="24AFCBD4"/>
    <w:rsid w:val="24C4C865"/>
    <w:rsid w:val="24C69755"/>
    <w:rsid w:val="24CBD71C"/>
    <w:rsid w:val="24D6F908"/>
    <w:rsid w:val="24DF06D0"/>
    <w:rsid w:val="24E9296D"/>
    <w:rsid w:val="24F6BF11"/>
    <w:rsid w:val="2518C214"/>
    <w:rsid w:val="25216B75"/>
    <w:rsid w:val="25289DEF"/>
    <w:rsid w:val="2532DDE5"/>
    <w:rsid w:val="2554380A"/>
    <w:rsid w:val="2558B402"/>
    <w:rsid w:val="255BBD7F"/>
    <w:rsid w:val="25664D98"/>
    <w:rsid w:val="25711945"/>
    <w:rsid w:val="257EA877"/>
    <w:rsid w:val="257EE4D4"/>
    <w:rsid w:val="2597FDCF"/>
    <w:rsid w:val="25B2ABC7"/>
    <w:rsid w:val="25B3F2D0"/>
    <w:rsid w:val="25B67376"/>
    <w:rsid w:val="25C4B1A4"/>
    <w:rsid w:val="25CF5D2B"/>
    <w:rsid w:val="25D2817F"/>
    <w:rsid w:val="25D35DF2"/>
    <w:rsid w:val="25D9C724"/>
    <w:rsid w:val="25DD1D82"/>
    <w:rsid w:val="25F49DDE"/>
    <w:rsid w:val="25FD8648"/>
    <w:rsid w:val="2604DCDF"/>
    <w:rsid w:val="26055B72"/>
    <w:rsid w:val="260570A3"/>
    <w:rsid w:val="260F9284"/>
    <w:rsid w:val="26107AE9"/>
    <w:rsid w:val="261A8197"/>
    <w:rsid w:val="262829EA"/>
    <w:rsid w:val="26284845"/>
    <w:rsid w:val="2645A7BF"/>
    <w:rsid w:val="264CA844"/>
    <w:rsid w:val="26570384"/>
    <w:rsid w:val="26637261"/>
    <w:rsid w:val="2679987A"/>
    <w:rsid w:val="267F9CDF"/>
    <w:rsid w:val="267FACA9"/>
    <w:rsid w:val="26808D35"/>
    <w:rsid w:val="2694A2D0"/>
    <w:rsid w:val="26A9B8BE"/>
    <w:rsid w:val="26CE7517"/>
    <w:rsid w:val="26F0086B"/>
    <w:rsid w:val="26F8895D"/>
    <w:rsid w:val="27029932"/>
    <w:rsid w:val="270AA609"/>
    <w:rsid w:val="27115CAD"/>
    <w:rsid w:val="271A4947"/>
    <w:rsid w:val="271A513C"/>
    <w:rsid w:val="271A78D8"/>
    <w:rsid w:val="274E7C28"/>
    <w:rsid w:val="27652393"/>
    <w:rsid w:val="27660C2B"/>
    <w:rsid w:val="2778732B"/>
    <w:rsid w:val="277A81C1"/>
    <w:rsid w:val="277EF3E7"/>
    <w:rsid w:val="27B231D8"/>
    <w:rsid w:val="27CFAB56"/>
    <w:rsid w:val="27D86563"/>
    <w:rsid w:val="27FCFEDA"/>
    <w:rsid w:val="2800CC77"/>
    <w:rsid w:val="280CAB6B"/>
    <w:rsid w:val="280EE99F"/>
    <w:rsid w:val="28142649"/>
    <w:rsid w:val="2815F08D"/>
    <w:rsid w:val="281D20EB"/>
    <w:rsid w:val="28257977"/>
    <w:rsid w:val="283043FB"/>
    <w:rsid w:val="284677E0"/>
    <w:rsid w:val="284AD775"/>
    <w:rsid w:val="284E8EA3"/>
    <w:rsid w:val="2856FF77"/>
    <w:rsid w:val="285EF7C4"/>
    <w:rsid w:val="286B95B4"/>
    <w:rsid w:val="2878C9BD"/>
    <w:rsid w:val="287CAE33"/>
    <w:rsid w:val="287D40ED"/>
    <w:rsid w:val="28812408"/>
    <w:rsid w:val="288BD8CC"/>
    <w:rsid w:val="288BE664"/>
    <w:rsid w:val="2893FC60"/>
    <w:rsid w:val="28945237"/>
    <w:rsid w:val="2896FF65"/>
    <w:rsid w:val="289BDE35"/>
    <w:rsid w:val="28A0A821"/>
    <w:rsid w:val="28A4A340"/>
    <w:rsid w:val="28B0EA7F"/>
    <w:rsid w:val="28B50B31"/>
    <w:rsid w:val="28C9EFC8"/>
    <w:rsid w:val="28D37D69"/>
    <w:rsid w:val="28E8E1C5"/>
    <w:rsid w:val="28F5CEB0"/>
    <w:rsid w:val="28FC93B5"/>
    <w:rsid w:val="28FF8691"/>
    <w:rsid w:val="2906D695"/>
    <w:rsid w:val="29127C5B"/>
    <w:rsid w:val="29149DF9"/>
    <w:rsid w:val="2927CCC0"/>
    <w:rsid w:val="292CA214"/>
    <w:rsid w:val="293A0B88"/>
    <w:rsid w:val="293BC129"/>
    <w:rsid w:val="2946B03C"/>
    <w:rsid w:val="295A3FD6"/>
    <w:rsid w:val="296E9F1A"/>
    <w:rsid w:val="297CF709"/>
    <w:rsid w:val="298AD903"/>
    <w:rsid w:val="2992C58E"/>
    <w:rsid w:val="299BCC2D"/>
    <w:rsid w:val="299C9CD8"/>
    <w:rsid w:val="29A8F0C5"/>
    <w:rsid w:val="29B6C009"/>
    <w:rsid w:val="29BDC532"/>
    <w:rsid w:val="29C5C5BB"/>
    <w:rsid w:val="29DE6F7D"/>
    <w:rsid w:val="29E69352"/>
    <w:rsid w:val="29EFE3B6"/>
    <w:rsid w:val="29FCD95B"/>
    <w:rsid w:val="2A0274FD"/>
    <w:rsid w:val="2A0695F3"/>
    <w:rsid w:val="2A07F606"/>
    <w:rsid w:val="2A2333ED"/>
    <w:rsid w:val="2A386465"/>
    <w:rsid w:val="2A397369"/>
    <w:rsid w:val="2A4BF03A"/>
    <w:rsid w:val="2A52199A"/>
    <w:rsid w:val="2A67F9BB"/>
    <w:rsid w:val="2A7DF6B3"/>
    <w:rsid w:val="2A9F411D"/>
    <w:rsid w:val="2AA0E1DB"/>
    <w:rsid w:val="2AA60014"/>
    <w:rsid w:val="2AC16B12"/>
    <w:rsid w:val="2AC39D21"/>
    <w:rsid w:val="2AF8245C"/>
    <w:rsid w:val="2B169878"/>
    <w:rsid w:val="2B2395E5"/>
    <w:rsid w:val="2B269528"/>
    <w:rsid w:val="2B3567B3"/>
    <w:rsid w:val="2B3B1844"/>
    <w:rsid w:val="2B450241"/>
    <w:rsid w:val="2B5D1A39"/>
    <w:rsid w:val="2B6766DB"/>
    <w:rsid w:val="2B733787"/>
    <w:rsid w:val="2B7F815F"/>
    <w:rsid w:val="2B81FE71"/>
    <w:rsid w:val="2B85842F"/>
    <w:rsid w:val="2B8BB417"/>
    <w:rsid w:val="2B8BDF5F"/>
    <w:rsid w:val="2BB982CF"/>
    <w:rsid w:val="2BC77616"/>
    <w:rsid w:val="2BD11C42"/>
    <w:rsid w:val="2BD434C6"/>
    <w:rsid w:val="2BDCA1EB"/>
    <w:rsid w:val="2BDDC72A"/>
    <w:rsid w:val="2BE5961B"/>
    <w:rsid w:val="2BEAC35D"/>
    <w:rsid w:val="2BEDBA6A"/>
    <w:rsid w:val="2BF30F48"/>
    <w:rsid w:val="2BFBE988"/>
    <w:rsid w:val="2C022B50"/>
    <w:rsid w:val="2C05C5A0"/>
    <w:rsid w:val="2C19F655"/>
    <w:rsid w:val="2C2BFD02"/>
    <w:rsid w:val="2C3AD4EF"/>
    <w:rsid w:val="2C45D6A3"/>
    <w:rsid w:val="2C64FEA1"/>
    <w:rsid w:val="2C7DCDA2"/>
    <w:rsid w:val="2C7FBC6D"/>
    <w:rsid w:val="2C88AB68"/>
    <w:rsid w:val="2C8D5E3B"/>
    <w:rsid w:val="2CAB0431"/>
    <w:rsid w:val="2CB3FB73"/>
    <w:rsid w:val="2CB7375C"/>
    <w:rsid w:val="2CBA36A2"/>
    <w:rsid w:val="2CD05580"/>
    <w:rsid w:val="2CE48653"/>
    <w:rsid w:val="2CE52253"/>
    <w:rsid w:val="2CE75AB3"/>
    <w:rsid w:val="2CF8EA9A"/>
    <w:rsid w:val="2D037637"/>
    <w:rsid w:val="2D3C85C2"/>
    <w:rsid w:val="2D45F212"/>
    <w:rsid w:val="2D55ADAF"/>
    <w:rsid w:val="2D5C7152"/>
    <w:rsid w:val="2D5D5E3A"/>
    <w:rsid w:val="2D67C35A"/>
    <w:rsid w:val="2D73F9D6"/>
    <w:rsid w:val="2D761723"/>
    <w:rsid w:val="2D84BBE7"/>
    <w:rsid w:val="2D860E1A"/>
    <w:rsid w:val="2D898ACB"/>
    <w:rsid w:val="2DA799C2"/>
    <w:rsid w:val="2DB2DFFF"/>
    <w:rsid w:val="2DB65754"/>
    <w:rsid w:val="2DC0B549"/>
    <w:rsid w:val="2DC1F96A"/>
    <w:rsid w:val="2DC2A3B8"/>
    <w:rsid w:val="2DDB148E"/>
    <w:rsid w:val="2DDEEAA7"/>
    <w:rsid w:val="2DE0C348"/>
    <w:rsid w:val="2DEC3F45"/>
    <w:rsid w:val="2E1E9BC2"/>
    <w:rsid w:val="2E24DB87"/>
    <w:rsid w:val="2E266D82"/>
    <w:rsid w:val="2E284C8E"/>
    <w:rsid w:val="2E335C59"/>
    <w:rsid w:val="2E3701BC"/>
    <w:rsid w:val="2E3BB544"/>
    <w:rsid w:val="2E4A5D95"/>
    <w:rsid w:val="2E596517"/>
    <w:rsid w:val="2E60A5B9"/>
    <w:rsid w:val="2E863235"/>
    <w:rsid w:val="2E8F7C90"/>
    <w:rsid w:val="2E991A38"/>
    <w:rsid w:val="2EA8E60F"/>
    <w:rsid w:val="2EAA61EF"/>
    <w:rsid w:val="2EAB713E"/>
    <w:rsid w:val="2EC0FFBF"/>
    <w:rsid w:val="2EC38021"/>
    <w:rsid w:val="2ECB3335"/>
    <w:rsid w:val="2EDA4F89"/>
    <w:rsid w:val="2EDE0A4F"/>
    <w:rsid w:val="2EEA5F3B"/>
    <w:rsid w:val="2F0D1F70"/>
    <w:rsid w:val="2F1D8880"/>
    <w:rsid w:val="2F255B2C"/>
    <w:rsid w:val="2F5C85AA"/>
    <w:rsid w:val="2F63BCC3"/>
    <w:rsid w:val="2F663F8A"/>
    <w:rsid w:val="2F8007D6"/>
    <w:rsid w:val="2FA4A2FE"/>
    <w:rsid w:val="2FA4F760"/>
    <w:rsid w:val="2FBBE785"/>
    <w:rsid w:val="2FC6D8C7"/>
    <w:rsid w:val="2FD21354"/>
    <w:rsid w:val="2FEEBD2C"/>
    <w:rsid w:val="2FF8A588"/>
    <w:rsid w:val="2FFDFB26"/>
    <w:rsid w:val="300BDE5C"/>
    <w:rsid w:val="30139A63"/>
    <w:rsid w:val="302EB331"/>
    <w:rsid w:val="30457098"/>
    <w:rsid w:val="306ABC5E"/>
    <w:rsid w:val="30752955"/>
    <w:rsid w:val="307C15DA"/>
    <w:rsid w:val="3082ABB7"/>
    <w:rsid w:val="308C75F7"/>
    <w:rsid w:val="30945063"/>
    <w:rsid w:val="30A8BCE5"/>
    <w:rsid w:val="30A8EFD1"/>
    <w:rsid w:val="30A9DD6D"/>
    <w:rsid w:val="30E23F3E"/>
    <w:rsid w:val="30FFA14F"/>
    <w:rsid w:val="31020C4F"/>
    <w:rsid w:val="31048613"/>
    <w:rsid w:val="31353B28"/>
    <w:rsid w:val="31397BFD"/>
    <w:rsid w:val="313EE8E2"/>
    <w:rsid w:val="31465C2C"/>
    <w:rsid w:val="314CCB35"/>
    <w:rsid w:val="314EFF39"/>
    <w:rsid w:val="315783E5"/>
    <w:rsid w:val="315902F8"/>
    <w:rsid w:val="31779DEF"/>
    <w:rsid w:val="3185D9FC"/>
    <w:rsid w:val="319D651E"/>
    <w:rsid w:val="319F7074"/>
    <w:rsid w:val="31A4C063"/>
    <w:rsid w:val="31B620A1"/>
    <w:rsid w:val="31C4C15D"/>
    <w:rsid w:val="31CEBDC1"/>
    <w:rsid w:val="31D025FD"/>
    <w:rsid w:val="31E01F1F"/>
    <w:rsid w:val="31E31200"/>
    <w:rsid w:val="31F51F1A"/>
    <w:rsid w:val="3206BD19"/>
    <w:rsid w:val="3220CA90"/>
    <w:rsid w:val="3229E949"/>
    <w:rsid w:val="32596B54"/>
    <w:rsid w:val="325CE3C3"/>
    <w:rsid w:val="326250CC"/>
    <w:rsid w:val="3262CD4B"/>
    <w:rsid w:val="327A32FD"/>
    <w:rsid w:val="327AC58A"/>
    <w:rsid w:val="327B5BCE"/>
    <w:rsid w:val="3294266C"/>
    <w:rsid w:val="329C0F51"/>
    <w:rsid w:val="32A5182E"/>
    <w:rsid w:val="32BACED3"/>
    <w:rsid w:val="32C3E30B"/>
    <w:rsid w:val="32C45134"/>
    <w:rsid w:val="32EBE49B"/>
    <w:rsid w:val="32F0D39B"/>
    <w:rsid w:val="32FE651F"/>
    <w:rsid w:val="330BF9C8"/>
    <w:rsid w:val="33286F64"/>
    <w:rsid w:val="332BF8D2"/>
    <w:rsid w:val="3336583D"/>
    <w:rsid w:val="33379684"/>
    <w:rsid w:val="333E7DE5"/>
    <w:rsid w:val="334BFFD3"/>
    <w:rsid w:val="33537FA4"/>
    <w:rsid w:val="335BCA52"/>
    <w:rsid w:val="3365C3B4"/>
    <w:rsid w:val="33701326"/>
    <w:rsid w:val="337BEF80"/>
    <w:rsid w:val="338A3427"/>
    <w:rsid w:val="338A9344"/>
    <w:rsid w:val="339034BE"/>
    <w:rsid w:val="33A44382"/>
    <w:rsid w:val="33AEDA5C"/>
    <w:rsid w:val="33B11083"/>
    <w:rsid w:val="33B90BC3"/>
    <w:rsid w:val="33B95987"/>
    <w:rsid w:val="33BA0AF0"/>
    <w:rsid w:val="33E1DC40"/>
    <w:rsid w:val="3400E966"/>
    <w:rsid w:val="34099F3F"/>
    <w:rsid w:val="34146255"/>
    <w:rsid w:val="34195F21"/>
    <w:rsid w:val="34220EE7"/>
    <w:rsid w:val="34256677"/>
    <w:rsid w:val="34290DD2"/>
    <w:rsid w:val="3440DB8C"/>
    <w:rsid w:val="345B6469"/>
    <w:rsid w:val="34741C8B"/>
    <w:rsid w:val="3474C0A6"/>
    <w:rsid w:val="34869FFB"/>
    <w:rsid w:val="3487B4FC"/>
    <w:rsid w:val="349D771B"/>
    <w:rsid w:val="34AC69A3"/>
    <w:rsid w:val="34B3782F"/>
    <w:rsid w:val="34D16C49"/>
    <w:rsid w:val="34D7F16C"/>
    <w:rsid w:val="34DB480F"/>
    <w:rsid w:val="34DDAD83"/>
    <w:rsid w:val="34E546C3"/>
    <w:rsid w:val="34EC0BD7"/>
    <w:rsid w:val="34F9CF4E"/>
    <w:rsid w:val="3500E6A8"/>
    <w:rsid w:val="350E8BE5"/>
    <w:rsid w:val="351AB2C2"/>
    <w:rsid w:val="351F575F"/>
    <w:rsid w:val="3520FB40"/>
    <w:rsid w:val="3531C999"/>
    <w:rsid w:val="3532C1A5"/>
    <w:rsid w:val="3561D6A0"/>
    <w:rsid w:val="357C16BC"/>
    <w:rsid w:val="357C29FA"/>
    <w:rsid w:val="3581C550"/>
    <w:rsid w:val="358F59D0"/>
    <w:rsid w:val="359129D0"/>
    <w:rsid w:val="359A5627"/>
    <w:rsid w:val="359EFC7D"/>
    <w:rsid w:val="35AB9C89"/>
    <w:rsid w:val="35AD32FA"/>
    <w:rsid w:val="35B6BA58"/>
    <w:rsid w:val="35B6E48F"/>
    <w:rsid w:val="35D360EB"/>
    <w:rsid w:val="35E4A022"/>
    <w:rsid w:val="35F23C0D"/>
    <w:rsid w:val="35F5B7BA"/>
    <w:rsid w:val="35FDDA73"/>
    <w:rsid w:val="36011295"/>
    <w:rsid w:val="36133A49"/>
    <w:rsid w:val="3623855D"/>
    <w:rsid w:val="3628C180"/>
    <w:rsid w:val="3650CB17"/>
    <w:rsid w:val="36594B1F"/>
    <w:rsid w:val="36683661"/>
    <w:rsid w:val="3668F8F5"/>
    <w:rsid w:val="367D0B41"/>
    <w:rsid w:val="367EA383"/>
    <w:rsid w:val="367EE6F9"/>
    <w:rsid w:val="36800546"/>
    <w:rsid w:val="3681E0FD"/>
    <w:rsid w:val="368B2127"/>
    <w:rsid w:val="3696718B"/>
    <w:rsid w:val="369A4FDE"/>
    <w:rsid w:val="36B77124"/>
    <w:rsid w:val="36CE9206"/>
    <w:rsid w:val="36E7DC75"/>
    <w:rsid w:val="36EEA72F"/>
    <w:rsid w:val="36F0AC85"/>
    <w:rsid w:val="37013949"/>
    <w:rsid w:val="370E19E2"/>
    <w:rsid w:val="37202017"/>
    <w:rsid w:val="372CA30A"/>
    <w:rsid w:val="374244EB"/>
    <w:rsid w:val="37434AD3"/>
    <w:rsid w:val="37518024"/>
    <w:rsid w:val="37527B41"/>
    <w:rsid w:val="3774A90B"/>
    <w:rsid w:val="3775A7CE"/>
    <w:rsid w:val="377B0823"/>
    <w:rsid w:val="3784AFA9"/>
    <w:rsid w:val="378C70A2"/>
    <w:rsid w:val="37A3C37C"/>
    <w:rsid w:val="37AA5B8C"/>
    <w:rsid w:val="37AADF34"/>
    <w:rsid w:val="37ABBD4D"/>
    <w:rsid w:val="37B0E88F"/>
    <w:rsid w:val="37BB9435"/>
    <w:rsid w:val="37BC76AA"/>
    <w:rsid w:val="37BE8B01"/>
    <w:rsid w:val="37BF5E81"/>
    <w:rsid w:val="37DF34EC"/>
    <w:rsid w:val="37E2947F"/>
    <w:rsid w:val="37F80373"/>
    <w:rsid w:val="3818A1B5"/>
    <w:rsid w:val="383E8B19"/>
    <w:rsid w:val="383EDB7F"/>
    <w:rsid w:val="383F491C"/>
    <w:rsid w:val="38649CEF"/>
    <w:rsid w:val="3866BBB5"/>
    <w:rsid w:val="3867C6C7"/>
    <w:rsid w:val="387D8077"/>
    <w:rsid w:val="388A5C44"/>
    <w:rsid w:val="388C7CE6"/>
    <w:rsid w:val="389DC066"/>
    <w:rsid w:val="38A1FC96"/>
    <w:rsid w:val="38AB2034"/>
    <w:rsid w:val="38BC5800"/>
    <w:rsid w:val="38C5FC11"/>
    <w:rsid w:val="38D2581A"/>
    <w:rsid w:val="38DF1B34"/>
    <w:rsid w:val="38E3B910"/>
    <w:rsid w:val="38E99AB1"/>
    <w:rsid w:val="39014FE1"/>
    <w:rsid w:val="3903F95A"/>
    <w:rsid w:val="3904E4A9"/>
    <w:rsid w:val="391C8F0C"/>
    <w:rsid w:val="393BF519"/>
    <w:rsid w:val="394607AB"/>
    <w:rsid w:val="3962346B"/>
    <w:rsid w:val="39789F1F"/>
    <w:rsid w:val="397D76C5"/>
    <w:rsid w:val="39802BBC"/>
    <w:rsid w:val="399550A1"/>
    <w:rsid w:val="399E7C4E"/>
    <w:rsid w:val="39A0010E"/>
    <w:rsid w:val="39A6F74F"/>
    <w:rsid w:val="39B1173C"/>
    <w:rsid w:val="39CA4EED"/>
    <w:rsid w:val="39E8B01C"/>
    <w:rsid w:val="3A0BE30F"/>
    <w:rsid w:val="3A0CFFB9"/>
    <w:rsid w:val="3A2C1215"/>
    <w:rsid w:val="3A31DED8"/>
    <w:rsid w:val="3A3DCCF7"/>
    <w:rsid w:val="3A428066"/>
    <w:rsid w:val="3A5FAA0A"/>
    <w:rsid w:val="3A8A55B2"/>
    <w:rsid w:val="3A8BFCDB"/>
    <w:rsid w:val="3A8E34E6"/>
    <w:rsid w:val="3AA2E63F"/>
    <w:rsid w:val="3AB832FF"/>
    <w:rsid w:val="3AC1930E"/>
    <w:rsid w:val="3AC8C94B"/>
    <w:rsid w:val="3B0F17D1"/>
    <w:rsid w:val="3B1BB55B"/>
    <w:rsid w:val="3B224BDE"/>
    <w:rsid w:val="3B22A5A9"/>
    <w:rsid w:val="3B2FA3CB"/>
    <w:rsid w:val="3B312102"/>
    <w:rsid w:val="3B42A869"/>
    <w:rsid w:val="3B4CE79D"/>
    <w:rsid w:val="3B640F97"/>
    <w:rsid w:val="3B709687"/>
    <w:rsid w:val="3B72D454"/>
    <w:rsid w:val="3B802FE4"/>
    <w:rsid w:val="3B870904"/>
    <w:rsid w:val="3B8DCECA"/>
    <w:rsid w:val="3B926DEC"/>
    <w:rsid w:val="3BA75097"/>
    <w:rsid w:val="3BA82348"/>
    <w:rsid w:val="3BA8C399"/>
    <w:rsid w:val="3BB7D0BC"/>
    <w:rsid w:val="3BBF6E77"/>
    <w:rsid w:val="3BD7422F"/>
    <w:rsid w:val="3BDA4602"/>
    <w:rsid w:val="3BEBCF68"/>
    <w:rsid w:val="3BF51CB8"/>
    <w:rsid w:val="3C0078D4"/>
    <w:rsid w:val="3C279AE9"/>
    <w:rsid w:val="3C3FE3D8"/>
    <w:rsid w:val="3C41D49F"/>
    <w:rsid w:val="3C4EF837"/>
    <w:rsid w:val="3C4F6799"/>
    <w:rsid w:val="3C59E241"/>
    <w:rsid w:val="3C5DE1B4"/>
    <w:rsid w:val="3C667CAD"/>
    <w:rsid w:val="3C750F7C"/>
    <w:rsid w:val="3C7DD937"/>
    <w:rsid w:val="3C83A0E4"/>
    <w:rsid w:val="3C868148"/>
    <w:rsid w:val="3C886406"/>
    <w:rsid w:val="3C8904F1"/>
    <w:rsid w:val="3C998CE0"/>
    <w:rsid w:val="3C9D1A0F"/>
    <w:rsid w:val="3CA52342"/>
    <w:rsid w:val="3CB66362"/>
    <w:rsid w:val="3CB8FB12"/>
    <w:rsid w:val="3CC4F326"/>
    <w:rsid w:val="3CD36256"/>
    <w:rsid w:val="3CDE78CA"/>
    <w:rsid w:val="3CEA1650"/>
    <w:rsid w:val="3CF353E4"/>
    <w:rsid w:val="3D062118"/>
    <w:rsid w:val="3D124CA2"/>
    <w:rsid w:val="3D2A5C52"/>
    <w:rsid w:val="3D3687DC"/>
    <w:rsid w:val="3D406FEB"/>
    <w:rsid w:val="3D412BAA"/>
    <w:rsid w:val="3D4A8CDA"/>
    <w:rsid w:val="3D69E7EE"/>
    <w:rsid w:val="3D975835"/>
    <w:rsid w:val="3DA578F4"/>
    <w:rsid w:val="3DA80809"/>
    <w:rsid w:val="3DAB214D"/>
    <w:rsid w:val="3DB4370C"/>
    <w:rsid w:val="3DC1F674"/>
    <w:rsid w:val="3DC55DCC"/>
    <w:rsid w:val="3DD504EC"/>
    <w:rsid w:val="3DDC7F6D"/>
    <w:rsid w:val="3DE0A64B"/>
    <w:rsid w:val="3DF5B2A2"/>
    <w:rsid w:val="3DFCB5B1"/>
    <w:rsid w:val="3E01D674"/>
    <w:rsid w:val="3E0AA763"/>
    <w:rsid w:val="3E1279D0"/>
    <w:rsid w:val="3E200EA4"/>
    <w:rsid w:val="3E24D552"/>
    <w:rsid w:val="3E2A4857"/>
    <w:rsid w:val="3E30C7EE"/>
    <w:rsid w:val="3E3375AD"/>
    <w:rsid w:val="3E491FF7"/>
    <w:rsid w:val="3E569933"/>
    <w:rsid w:val="3E66C2AF"/>
    <w:rsid w:val="3E686EE5"/>
    <w:rsid w:val="3E6CB9C9"/>
    <w:rsid w:val="3E7FEB0C"/>
    <w:rsid w:val="3E959108"/>
    <w:rsid w:val="3EA13C64"/>
    <w:rsid w:val="3EB0027F"/>
    <w:rsid w:val="3EB79EFE"/>
    <w:rsid w:val="3EC75C4B"/>
    <w:rsid w:val="3ECEE0DF"/>
    <w:rsid w:val="3EDADD66"/>
    <w:rsid w:val="3EEA92F4"/>
    <w:rsid w:val="3EFBFCD6"/>
    <w:rsid w:val="3F026219"/>
    <w:rsid w:val="3F0C7B5E"/>
    <w:rsid w:val="3F2847AE"/>
    <w:rsid w:val="3F37E949"/>
    <w:rsid w:val="3F5639D3"/>
    <w:rsid w:val="3F778EDF"/>
    <w:rsid w:val="3F85D2BA"/>
    <w:rsid w:val="3F89F53E"/>
    <w:rsid w:val="3F95EAE7"/>
    <w:rsid w:val="3F9C2F9E"/>
    <w:rsid w:val="3FA1B8E6"/>
    <w:rsid w:val="3FAA07DC"/>
    <w:rsid w:val="3FCA031A"/>
    <w:rsid w:val="3FCA865B"/>
    <w:rsid w:val="3FCAEE79"/>
    <w:rsid w:val="3FD8CC41"/>
    <w:rsid w:val="3FDB788E"/>
    <w:rsid w:val="3FDEF4D2"/>
    <w:rsid w:val="3FE123EC"/>
    <w:rsid w:val="3FFBA64C"/>
    <w:rsid w:val="4017D589"/>
    <w:rsid w:val="4030A4DE"/>
    <w:rsid w:val="40323886"/>
    <w:rsid w:val="40568987"/>
    <w:rsid w:val="405BC0B8"/>
    <w:rsid w:val="40789A6B"/>
    <w:rsid w:val="4081282D"/>
    <w:rsid w:val="408E2A83"/>
    <w:rsid w:val="409ADEC9"/>
    <w:rsid w:val="409E327A"/>
    <w:rsid w:val="40A4A870"/>
    <w:rsid w:val="40A81B8F"/>
    <w:rsid w:val="40A859B0"/>
    <w:rsid w:val="40AA6964"/>
    <w:rsid w:val="40AC1E24"/>
    <w:rsid w:val="40B0CCEF"/>
    <w:rsid w:val="40B678D0"/>
    <w:rsid w:val="40BBC682"/>
    <w:rsid w:val="40F2C572"/>
    <w:rsid w:val="40F8D2F4"/>
    <w:rsid w:val="412BE428"/>
    <w:rsid w:val="412C0E78"/>
    <w:rsid w:val="4138C9CF"/>
    <w:rsid w:val="41397736"/>
    <w:rsid w:val="414EB5C4"/>
    <w:rsid w:val="4151285C"/>
    <w:rsid w:val="41543BC7"/>
    <w:rsid w:val="415B7ABE"/>
    <w:rsid w:val="41615514"/>
    <w:rsid w:val="4166349A"/>
    <w:rsid w:val="4174D375"/>
    <w:rsid w:val="417F5DCD"/>
    <w:rsid w:val="41829955"/>
    <w:rsid w:val="41A3DB96"/>
    <w:rsid w:val="41A8FD53"/>
    <w:rsid w:val="41ACD6B9"/>
    <w:rsid w:val="41C6ADB9"/>
    <w:rsid w:val="41E240A5"/>
    <w:rsid w:val="4201B604"/>
    <w:rsid w:val="4216FE64"/>
    <w:rsid w:val="421AEBF9"/>
    <w:rsid w:val="423CF0BD"/>
    <w:rsid w:val="4241C50B"/>
    <w:rsid w:val="4243EBF0"/>
    <w:rsid w:val="425478F7"/>
    <w:rsid w:val="426B30D0"/>
    <w:rsid w:val="42769E30"/>
    <w:rsid w:val="42929BA8"/>
    <w:rsid w:val="42A1C7BA"/>
    <w:rsid w:val="42ADD55B"/>
    <w:rsid w:val="42BFA150"/>
    <w:rsid w:val="42CF2349"/>
    <w:rsid w:val="42F645DA"/>
    <w:rsid w:val="431F7FD4"/>
    <w:rsid w:val="43227B81"/>
    <w:rsid w:val="43245256"/>
    <w:rsid w:val="432DC5CE"/>
    <w:rsid w:val="432E63AB"/>
    <w:rsid w:val="43346CF7"/>
    <w:rsid w:val="433DC5BD"/>
    <w:rsid w:val="43402790"/>
    <w:rsid w:val="43405942"/>
    <w:rsid w:val="434A6591"/>
    <w:rsid w:val="43511466"/>
    <w:rsid w:val="4358DEC5"/>
    <w:rsid w:val="436C5C10"/>
    <w:rsid w:val="43818E26"/>
    <w:rsid w:val="438F6F8B"/>
    <w:rsid w:val="4394937F"/>
    <w:rsid w:val="43ADE32B"/>
    <w:rsid w:val="43B2935D"/>
    <w:rsid w:val="43B3314E"/>
    <w:rsid w:val="43BD60ED"/>
    <w:rsid w:val="43C2E16E"/>
    <w:rsid w:val="43C320D5"/>
    <w:rsid w:val="43D5D33C"/>
    <w:rsid w:val="43DC6879"/>
    <w:rsid w:val="43DF1A07"/>
    <w:rsid w:val="43DFBC51"/>
    <w:rsid w:val="43E0BBB0"/>
    <w:rsid w:val="43E22E51"/>
    <w:rsid w:val="43F94060"/>
    <w:rsid w:val="440699B9"/>
    <w:rsid w:val="4407DE1E"/>
    <w:rsid w:val="440C6F7D"/>
    <w:rsid w:val="44123654"/>
    <w:rsid w:val="44210491"/>
    <w:rsid w:val="442AA2F4"/>
    <w:rsid w:val="4433BF6F"/>
    <w:rsid w:val="44431C3C"/>
    <w:rsid w:val="4446FB80"/>
    <w:rsid w:val="444AF808"/>
    <w:rsid w:val="44664821"/>
    <w:rsid w:val="44690461"/>
    <w:rsid w:val="446C22CE"/>
    <w:rsid w:val="446FA0C1"/>
    <w:rsid w:val="44796162"/>
    <w:rsid w:val="448B996D"/>
    <w:rsid w:val="448E8A13"/>
    <w:rsid w:val="449458AE"/>
    <w:rsid w:val="44A12993"/>
    <w:rsid w:val="44B59F62"/>
    <w:rsid w:val="44BCB6BE"/>
    <w:rsid w:val="44C65582"/>
    <w:rsid w:val="44DCEE5A"/>
    <w:rsid w:val="44FE2484"/>
    <w:rsid w:val="450D6155"/>
    <w:rsid w:val="4520B52D"/>
    <w:rsid w:val="45406739"/>
    <w:rsid w:val="45480E45"/>
    <w:rsid w:val="454CD834"/>
    <w:rsid w:val="45518813"/>
    <w:rsid w:val="4553C7A8"/>
    <w:rsid w:val="45549727"/>
    <w:rsid w:val="4558C6F6"/>
    <w:rsid w:val="4569BA39"/>
    <w:rsid w:val="457A9596"/>
    <w:rsid w:val="459510C1"/>
    <w:rsid w:val="45AB1D70"/>
    <w:rsid w:val="45BE8739"/>
    <w:rsid w:val="45CD0859"/>
    <w:rsid w:val="45D19615"/>
    <w:rsid w:val="45E79C2A"/>
    <w:rsid w:val="45EA576A"/>
    <w:rsid w:val="45F00B97"/>
    <w:rsid w:val="45F8B4AC"/>
    <w:rsid w:val="45FD024E"/>
    <w:rsid w:val="45FD3AF7"/>
    <w:rsid w:val="45FD4AD4"/>
    <w:rsid w:val="4605BAED"/>
    <w:rsid w:val="4611DD09"/>
    <w:rsid w:val="4634AFAA"/>
    <w:rsid w:val="463DCBEF"/>
    <w:rsid w:val="46548BE4"/>
    <w:rsid w:val="4657B0B7"/>
    <w:rsid w:val="46588A9F"/>
    <w:rsid w:val="465EB7D4"/>
    <w:rsid w:val="4661ABDA"/>
    <w:rsid w:val="46687DF2"/>
    <w:rsid w:val="46779DDF"/>
    <w:rsid w:val="4679175B"/>
    <w:rsid w:val="467C81BE"/>
    <w:rsid w:val="46929644"/>
    <w:rsid w:val="46A12635"/>
    <w:rsid w:val="46AA5B76"/>
    <w:rsid w:val="46AF9D6B"/>
    <w:rsid w:val="46BD1FEB"/>
    <w:rsid w:val="46C4B5A3"/>
    <w:rsid w:val="46D02ACE"/>
    <w:rsid w:val="46DA6A45"/>
    <w:rsid w:val="46DD8317"/>
    <w:rsid w:val="46EAD210"/>
    <w:rsid w:val="46F70E28"/>
    <w:rsid w:val="46F9EF36"/>
    <w:rsid w:val="470E4831"/>
    <w:rsid w:val="472E8339"/>
    <w:rsid w:val="473F7EE0"/>
    <w:rsid w:val="4743CB1F"/>
    <w:rsid w:val="4747C2FB"/>
    <w:rsid w:val="474A7F61"/>
    <w:rsid w:val="476070C4"/>
    <w:rsid w:val="4765F6E4"/>
    <w:rsid w:val="47678739"/>
    <w:rsid w:val="476A8A2F"/>
    <w:rsid w:val="477B7256"/>
    <w:rsid w:val="477C26F9"/>
    <w:rsid w:val="4790E51C"/>
    <w:rsid w:val="4792A4DC"/>
    <w:rsid w:val="479323F7"/>
    <w:rsid w:val="47B994DC"/>
    <w:rsid w:val="47BAB8B8"/>
    <w:rsid w:val="47BF5579"/>
    <w:rsid w:val="47C41546"/>
    <w:rsid w:val="47D7194C"/>
    <w:rsid w:val="47E1DBE8"/>
    <w:rsid w:val="47E30EA4"/>
    <w:rsid w:val="47EB5C59"/>
    <w:rsid w:val="47F1B4C4"/>
    <w:rsid w:val="480F512B"/>
    <w:rsid w:val="480F6E54"/>
    <w:rsid w:val="4819666C"/>
    <w:rsid w:val="4826804F"/>
    <w:rsid w:val="483091E5"/>
    <w:rsid w:val="483D164C"/>
    <w:rsid w:val="484AB95B"/>
    <w:rsid w:val="484D3AF3"/>
    <w:rsid w:val="48508E70"/>
    <w:rsid w:val="48588B8E"/>
    <w:rsid w:val="485D1E37"/>
    <w:rsid w:val="489A1DBA"/>
    <w:rsid w:val="489D103E"/>
    <w:rsid w:val="48C1798B"/>
    <w:rsid w:val="48C2DF77"/>
    <w:rsid w:val="48CCB183"/>
    <w:rsid w:val="48D4C93C"/>
    <w:rsid w:val="48E3A9E0"/>
    <w:rsid w:val="48E9DD02"/>
    <w:rsid w:val="48F2A010"/>
    <w:rsid w:val="48F48132"/>
    <w:rsid w:val="4900D92A"/>
    <w:rsid w:val="4901E016"/>
    <w:rsid w:val="490209DC"/>
    <w:rsid w:val="490C96A1"/>
    <w:rsid w:val="49401F03"/>
    <w:rsid w:val="49432E1F"/>
    <w:rsid w:val="4958637E"/>
    <w:rsid w:val="496FD8AA"/>
    <w:rsid w:val="4976D232"/>
    <w:rsid w:val="49814C96"/>
    <w:rsid w:val="498B08B4"/>
    <w:rsid w:val="49B463FC"/>
    <w:rsid w:val="49B81E64"/>
    <w:rsid w:val="49C4E958"/>
    <w:rsid w:val="49CCBFF7"/>
    <w:rsid w:val="4A0E770E"/>
    <w:rsid w:val="4A0F9EB2"/>
    <w:rsid w:val="4A16A661"/>
    <w:rsid w:val="4A18DB11"/>
    <w:rsid w:val="4A1B5EEC"/>
    <w:rsid w:val="4A28B441"/>
    <w:rsid w:val="4A31F53D"/>
    <w:rsid w:val="4A331C4C"/>
    <w:rsid w:val="4A4B36DC"/>
    <w:rsid w:val="4A4FF028"/>
    <w:rsid w:val="4A77ABCA"/>
    <w:rsid w:val="4A7892D0"/>
    <w:rsid w:val="4A952D2C"/>
    <w:rsid w:val="4A9DB077"/>
    <w:rsid w:val="4AA42844"/>
    <w:rsid w:val="4AA8832C"/>
    <w:rsid w:val="4ABCB262"/>
    <w:rsid w:val="4AC4F88C"/>
    <w:rsid w:val="4ACEE555"/>
    <w:rsid w:val="4AD0020E"/>
    <w:rsid w:val="4AEA988C"/>
    <w:rsid w:val="4B00A883"/>
    <w:rsid w:val="4B13F2CF"/>
    <w:rsid w:val="4B1B322D"/>
    <w:rsid w:val="4B25179D"/>
    <w:rsid w:val="4B2D70A5"/>
    <w:rsid w:val="4B4C0696"/>
    <w:rsid w:val="4B58CC33"/>
    <w:rsid w:val="4B5CD4D2"/>
    <w:rsid w:val="4B60B9B9"/>
    <w:rsid w:val="4B7A8F2B"/>
    <w:rsid w:val="4B88CE21"/>
    <w:rsid w:val="4B898C13"/>
    <w:rsid w:val="4BA7776E"/>
    <w:rsid w:val="4BBD7311"/>
    <w:rsid w:val="4BC45697"/>
    <w:rsid w:val="4BD31512"/>
    <w:rsid w:val="4BE7073D"/>
    <w:rsid w:val="4BEBC089"/>
    <w:rsid w:val="4BEFB987"/>
    <w:rsid w:val="4BF16D5C"/>
    <w:rsid w:val="4BF9C7A6"/>
    <w:rsid w:val="4C045245"/>
    <w:rsid w:val="4C0DE96F"/>
    <w:rsid w:val="4C0E6D47"/>
    <w:rsid w:val="4C0F1824"/>
    <w:rsid w:val="4C11A189"/>
    <w:rsid w:val="4C236061"/>
    <w:rsid w:val="4C2D8B8E"/>
    <w:rsid w:val="4C2E3881"/>
    <w:rsid w:val="4C4D2CEA"/>
    <w:rsid w:val="4C54FD10"/>
    <w:rsid w:val="4C65406A"/>
    <w:rsid w:val="4C77433E"/>
    <w:rsid w:val="4C7E2DAE"/>
    <w:rsid w:val="4CAA7525"/>
    <w:rsid w:val="4CAFC330"/>
    <w:rsid w:val="4CC7947A"/>
    <w:rsid w:val="4CC92F01"/>
    <w:rsid w:val="4CDC60D8"/>
    <w:rsid w:val="4CE0C915"/>
    <w:rsid w:val="4CE509AB"/>
    <w:rsid w:val="4CF00F8D"/>
    <w:rsid w:val="4CF58935"/>
    <w:rsid w:val="4D0C6F94"/>
    <w:rsid w:val="4D0D8FDB"/>
    <w:rsid w:val="4D1D6C31"/>
    <w:rsid w:val="4D23D64E"/>
    <w:rsid w:val="4D313318"/>
    <w:rsid w:val="4D39A0E1"/>
    <w:rsid w:val="4D52DC0C"/>
    <w:rsid w:val="4D53852E"/>
    <w:rsid w:val="4D5BE4DA"/>
    <w:rsid w:val="4D793DA0"/>
    <w:rsid w:val="4D7EA017"/>
    <w:rsid w:val="4D838E04"/>
    <w:rsid w:val="4D842647"/>
    <w:rsid w:val="4D8790EA"/>
    <w:rsid w:val="4D98CFCF"/>
    <w:rsid w:val="4DA824EC"/>
    <w:rsid w:val="4DB22453"/>
    <w:rsid w:val="4DB56985"/>
    <w:rsid w:val="4DC8FCDB"/>
    <w:rsid w:val="4DD4D90B"/>
    <w:rsid w:val="4DDB0871"/>
    <w:rsid w:val="4DF9A847"/>
    <w:rsid w:val="4E03C75A"/>
    <w:rsid w:val="4E06FAE8"/>
    <w:rsid w:val="4E334F8D"/>
    <w:rsid w:val="4E3C6E44"/>
    <w:rsid w:val="4E3F9228"/>
    <w:rsid w:val="4E4CCA70"/>
    <w:rsid w:val="4E77BBAD"/>
    <w:rsid w:val="4E7B7AEC"/>
    <w:rsid w:val="4E903139"/>
    <w:rsid w:val="4EA670C5"/>
    <w:rsid w:val="4ECC53CD"/>
    <w:rsid w:val="4EE9F8BA"/>
    <w:rsid w:val="4EF0FE18"/>
    <w:rsid w:val="4EF16503"/>
    <w:rsid w:val="4F054281"/>
    <w:rsid w:val="4F2C3DC6"/>
    <w:rsid w:val="4F2CF441"/>
    <w:rsid w:val="4F2EDF8C"/>
    <w:rsid w:val="4F3851AC"/>
    <w:rsid w:val="4F40D267"/>
    <w:rsid w:val="4F4C03F3"/>
    <w:rsid w:val="4F569473"/>
    <w:rsid w:val="4F781153"/>
    <w:rsid w:val="4F7E2566"/>
    <w:rsid w:val="4F8BCC00"/>
    <w:rsid w:val="4F93AA62"/>
    <w:rsid w:val="4F95852E"/>
    <w:rsid w:val="4F95A64E"/>
    <w:rsid w:val="4F9F4FC0"/>
    <w:rsid w:val="4F9FD8D4"/>
    <w:rsid w:val="4FA37C1B"/>
    <w:rsid w:val="4FB13948"/>
    <w:rsid w:val="4FB25368"/>
    <w:rsid w:val="4FB5CE70"/>
    <w:rsid w:val="4FC002A6"/>
    <w:rsid w:val="4FDF1A2E"/>
    <w:rsid w:val="5014019A"/>
    <w:rsid w:val="5016E8D5"/>
    <w:rsid w:val="501B44F5"/>
    <w:rsid w:val="502D29F7"/>
    <w:rsid w:val="50326ECE"/>
    <w:rsid w:val="50433D2F"/>
    <w:rsid w:val="5045D376"/>
    <w:rsid w:val="504AE1CF"/>
    <w:rsid w:val="5067AE61"/>
    <w:rsid w:val="508772DD"/>
    <w:rsid w:val="50910A14"/>
    <w:rsid w:val="5096E7FF"/>
    <w:rsid w:val="50A632EF"/>
    <w:rsid w:val="50B36D64"/>
    <w:rsid w:val="50B48E9B"/>
    <w:rsid w:val="50B82389"/>
    <w:rsid w:val="50C5DDFC"/>
    <w:rsid w:val="50F0FC3C"/>
    <w:rsid w:val="50F264D4"/>
    <w:rsid w:val="50FAC74B"/>
    <w:rsid w:val="5104F21A"/>
    <w:rsid w:val="512891CB"/>
    <w:rsid w:val="512C1FEE"/>
    <w:rsid w:val="515815B0"/>
    <w:rsid w:val="51588369"/>
    <w:rsid w:val="517FED1B"/>
    <w:rsid w:val="518A069A"/>
    <w:rsid w:val="518AFB5F"/>
    <w:rsid w:val="518B858A"/>
    <w:rsid w:val="51D260A1"/>
    <w:rsid w:val="51D55B1D"/>
    <w:rsid w:val="52074C46"/>
    <w:rsid w:val="520A41F6"/>
    <w:rsid w:val="520AC451"/>
    <w:rsid w:val="520BBF9A"/>
    <w:rsid w:val="521B01AF"/>
    <w:rsid w:val="523E0205"/>
    <w:rsid w:val="523F47B1"/>
    <w:rsid w:val="5250E061"/>
    <w:rsid w:val="52521F63"/>
    <w:rsid w:val="52526BCF"/>
    <w:rsid w:val="525F795B"/>
    <w:rsid w:val="5263E476"/>
    <w:rsid w:val="528557AE"/>
    <w:rsid w:val="528922A9"/>
    <w:rsid w:val="52903164"/>
    <w:rsid w:val="5290A269"/>
    <w:rsid w:val="52AC8715"/>
    <w:rsid w:val="52AEBFB7"/>
    <w:rsid w:val="52B4EDBD"/>
    <w:rsid w:val="52CF573A"/>
    <w:rsid w:val="52E56C79"/>
    <w:rsid w:val="530E01B1"/>
    <w:rsid w:val="531109A4"/>
    <w:rsid w:val="531DADA1"/>
    <w:rsid w:val="5320988E"/>
    <w:rsid w:val="53241D8C"/>
    <w:rsid w:val="5338CD86"/>
    <w:rsid w:val="533FCA32"/>
    <w:rsid w:val="53458A8D"/>
    <w:rsid w:val="53472905"/>
    <w:rsid w:val="536BCB9E"/>
    <w:rsid w:val="536D0276"/>
    <w:rsid w:val="536D5849"/>
    <w:rsid w:val="536DF48E"/>
    <w:rsid w:val="539F3C97"/>
    <w:rsid w:val="53BD69DD"/>
    <w:rsid w:val="53C7C208"/>
    <w:rsid w:val="53CE88C1"/>
    <w:rsid w:val="53D556EB"/>
    <w:rsid w:val="53F437D0"/>
    <w:rsid w:val="53FB49BC"/>
    <w:rsid w:val="53FF3E15"/>
    <w:rsid w:val="540D26C9"/>
    <w:rsid w:val="5420CD22"/>
    <w:rsid w:val="5425749A"/>
    <w:rsid w:val="542D50FD"/>
    <w:rsid w:val="5436C18D"/>
    <w:rsid w:val="543B8258"/>
    <w:rsid w:val="543E9B87"/>
    <w:rsid w:val="544D4308"/>
    <w:rsid w:val="54517724"/>
    <w:rsid w:val="545289CD"/>
    <w:rsid w:val="5458AC7C"/>
    <w:rsid w:val="5459DAE8"/>
    <w:rsid w:val="54689DFF"/>
    <w:rsid w:val="546BB228"/>
    <w:rsid w:val="546C1541"/>
    <w:rsid w:val="54778E7D"/>
    <w:rsid w:val="547EFAD8"/>
    <w:rsid w:val="5487AAFF"/>
    <w:rsid w:val="54893F93"/>
    <w:rsid w:val="548BD3EC"/>
    <w:rsid w:val="54A8A74A"/>
    <w:rsid w:val="54B83F14"/>
    <w:rsid w:val="54D2F3DE"/>
    <w:rsid w:val="54D7702A"/>
    <w:rsid w:val="54EBDAFA"/>
    <w:rsid w:val="55110155"/>
    <w:rsid w:val="55182343"/>
    <w:rsid w:val="552187F8"/>
    <w:rsid w:val="5524E85F"/>
    <w:rsid w:val="552700BC"/>
    <w:rsid w:val="553C13A3"/>
    <w:rsid w:val="5544233F"/>
    <w:rsid w:val="55557FD1"/>
    <w:rsid w:val="555BB20A"/>
    <w:rsid w:val="555C3D11"/>
    <w:rsid w:val="556CB64F"/>
    <w:rsid w:val="556D69FC"/>
    <w:rsid w:val="5578E513"/>
    <w:rsid w:val="5592A2CF"/>
    <w:rsid w:val="5595D709"/>
    <w:rsid w:val="5599F6CC"/>
    <w:rsid w:val="55A5DA2D"/>
    <w:rsid w:val="55B8B515"/>
    <w:rsid w:val="55B9F1E3"/>
    <w:rsid w:val="55CEC740"/>
    <w:rsid w:val="55D8A186"/>
    <w:rsid w:val="55D9EC49"/>
    <w:rsid w:val="55EB19A9"/>
    <w:rsid w:val="55EF7F2C"/>
    <w:rsid w:val="55FA5273"/>
    <w:rsid w:val="55FAF16F"/>
    <w:rsid w:val="5602A643"/>
    <w:rsid w:val="5609E5B6"/>
    <w:rsid w:val="560ED2DD"/>
    <w:rsid w:val="56189117"/>
    <w:rsid w:val="5627DA6E"/>
    <w:rsid w:val="56353355"/>
    <w:rsid w:val="564AA42E"/>
    <w:rsid w:val="56554E63"/>
    <w:rsid w:val="566261FD"/>
    <w:rsid w:val="566C7B42"/>
    <w:rsid w:val="5685588E"/>
    <w:rsid w:val="5685D88B"/>
    <w:rsid w:val="568605A5"/>
    <w:rsid w:val="5692252D"/>
    <w:rsid w:val="56946CDF"/>
    <w:rsid w:val="56A2469D"/>
    <w:rsid w:val="56A39BF1"/>
    <w:rsid w:val="56ADAB94"/>
    <w:rsid w:val="56B5017B"/>
    <w:rsid w:val="56BD53DB"/>
    <w:rsid w:val="56C2FB13"/>
    <w:rsid w:val="56CCA3FF"/>
    <w:rsid w:val="56D708E5"/>
    <w:rsid w:val="56E84470"/>
    <w:rsid w:val="57053C1E"/>
    <w:rsid w:val="574704EC"/>
    <w:rsid w:val="575C4BCB"/>
    <w:rsid w:val="576DB8F6"/>
    <w:rsid w:val="577980D9"/>
    <w:rsid w:val="5786EA0A"/>
    <w:rsid w:val="5793BE5D"/>
    <w:rsid w:val="579456E2"/>
    <w:rsid w:val="579487AE"/>
    <w:rsid w:val="57A9ED48"/>
    <w:rsid w:val="57AE9C90"/>
    <w:rsid w:val="57B2EA1A"/>
    <w:rsid w:val="57B7CB06"/>
    <w:rsid w:val="57C1A777"/>
    <w:rsid w:val="57E08E81"/>
    <w:rsid w:val="58003DE1"/>
    <w:rsid w:val="5814FBE5"/>
    <w:rsid w:val="58257DF2"/>
    <w:rsid w:val="582F621D"/>
    <w:rsid w:val="58303D40"/>
    <w:rsid w:val="5831F0F5"/>
    <w:rsid w:val="583CDF8A"/>
    <w:rsid w:val="5850E060"/>
    <w:rsid w:val="585A0400"/>
    <w:rsid w:val="587204DE"/>
    <w:rsid w:val="588370AE"/>
    <w:rsid w:val="5885B6CE"/>
    <w:rsid w:val="588EC85C"/>
    <w:rsid w:val="58B0D723"/>
    <w:rsid w:val="58BBD50D"/>
    <w:rsid w:val="58CEB4A8"/>
    <w:rsid w:val="58DD6420"/>
    <w:rsid w:val="58E2D54D"/>
    <w:rsid w:val="58EBE785"/>
    <w:rsid w:val="59000F8B"/>
    <w:rsid w:val="5913C778"/>
    <w:rsid w:val="592D2491"/>
    <w:rsid w:val="5934674E"/>
    <w:rsid w:val="593BB263"/>
    <w:rsid w:val="594E3446"/>
    <w:rsid w:val="5950040E"/>
    <w:rsid w:val="596A7085"/>
    <w:rsid w:val="5978771D"/>
    <w:rsid w:val="598CEF25"/>
    <w:rsid w:val="59B42747"/>
    <w:rsid w:val="59B945B1"/>
    <w:rsid w:val="59C21456"/>
    <w:rsid w:val="59D45F0E"/>
    <w:rsid w:val="59DB7910"/>
    <w:rsid w:val="59EB9312"/>
    <w:rsid w:val="59F4AA87"/>
    <w:rsid w:val="59F70333"/>
    <w:rsid w:val="59F897DB"/>
    <w:rsid w:val="59F961F2"/>
    <w:rsid w:val="5A120B61"/>
    <w:rsid w:val="5A32459F"/>
    <w:rsid w:val="5A374B4C"/>
    <w:rsid w:val="5A456CDE"/>
    <w:rsid w:val="5A57A56E"/>
    <w:rsid w:val="5A82B78F"/>
    <w:rsid w:val="5A8DD496"/>
    <w:rsid w:val="5A96F0C2"/>
    <w:rsid w:val="5AB3AD1C"/>
    <w:rsid w:val="5AB66B0B"/>
    <w:rsid w:val="5AC2C781"/>
    <w:rsid w:val="5AD34C71"/>
    <w:rsid w:val="5ADAA56E"/>
    <w:rsid w:val="5ADEF7D6"/>
    <w:rsid w:val="5ADFF4EE"/>
    <w:rsid w:val="5B19D7EC"/>
    <w:rsid w:val="5B464C97"/>
    <w:rsid w:val="5B5DE4B7"/>
    <w:rsid w:val="5B5EA1C7"/>
    <w:rsid w:val="5B67DE02"/>
    <w:rsid w:val="5B7773A9"/>
    <w:rsid w:val="5B876373"/>
    <w:rsid w:val="5B8EB82C"/>
    <w:rsid w:val="5B9F6CDC"/>
    <w:rsid w:val="5BA24014"/>
    <w:rsid w:val="5BA29AC7"/>
    <w:rsid w:val="5BAE60ED"/>
    <w:rsid w:val="5BB5DD88"/>
    <w:rsid w:val="5BB81279"/>
    <w:rsid w:val="5BB8F88B"/>
    <w:rsid w:val="5BC85994"/>
    <w:rsid w:val="5BE40BF4"/>
    <w:rsid w:val="5BE75FBC"/>
    <w:rsid w:val="5BF6702E"/>
    <w:rsid w:val="5C0096DB"/>
    <w:rsid w:val="5C02387A"/>
    <w:rsid w:val="5C0A2AD4"/>
    <w:rsid w:val="5C12F7D7"/>
    <w:rsid w:val="5C1A4E71"/>
    <w:rsid w:val="5C2904B5"/>
    <w:rsid w:val="5C36BF0C"/>
    <w:rsid w:val="5C46AC6C"/>
    <w:rsid w:val="5C4F7D7D"/>
    <w:rsid w:val="5C579228"/>
    <w:rsid w:val="5C59769C"/>
    <w:rsid w:val="5C5D60B3"/>
    <w:rsid w:val="5C65196A"/>
    <w:rsid w:val="5C8988B3"/>
    <w:rsid w:val="5C95D115"/>
    <w:rsid w:val="5C9D23E3"/>
    <w:rsid w:val="5CB2BD8D"/>
    <w:rsid w:val="5CCCCE74"/>
    <w:rsid w:val="5CF5E042"/>
    <w:rsid w:val="5CFF8591"/>
    <w:rsid w:val="5D0456F1"/>
    <w:rsid w:val="5D3979B4"/>
    <w:rsid w:val="5D39DB30"/>
    <w:rsid w:val="5D4F489F"/>
    <w:rsid w:val="5D8460FC"/>
    <w:rsid w:val="5DB6D573"/>
    <w:rsid w:val="5DBA85CD"/>
    <w:rsid w:val="5DD0BABD"/>
    <w:rsid w:val="5DF97785"/>
    <w:rsid w:val="5E0C4E2D"/>
    <w:rsid w:val="5E226E77"/>
    <w:rsid w:val="5E2DCCD2"/>
    <w:rsid w:val="5E349457"/>
    <w:rsid w:val="5E41297D"/>
    <w:rsid w:val="5E52BC10"/>
    <w:rsid w:val="5E606048"/>
    <w:rsid w:val="5E6957E3"/>
    <w:rsid w:val="5E6D73E2"/>
    <w:rsid w:val="5E708405"/>
    <w:rsid w:val="5E724BD2"/>
    <w:rsid w:val="5E72EB33"/>
    <w:rsid w:val="5E7B3F25"/>
    <w:rsid w:val="5E8896F0"/>
    <w:rsid w:val="5E8A03FD"/>
    <w:rsid w:val="5E977BEC"/>
    <w:rsid w:val="5E98E9B6"/>
    <w:rsid w:val="5E9AE8ED"/>
    <w:rsid w:val="5EA16711"/>
    <w:rsid w:val="5EC7F470"/>
    <w:rsid w:val="5ECCA6F1"/>
    <w:rsid w:val="5ECF86C8"/>
    <w:rsid w:val="5EE5A8C3"/>
    <w:rsid w:val="5EE96BF3"/>
    <w:rsid w:val="5F0B24E8"/>
    <w:rsid w:val="5F0ED4D6"/>
    <w:rsid w:val="5F17E2AE"/>
    <w:rsid w:val="5F233BF2"/>
    <w:rsid w:val="5F236642"/>
    <w:rsid w:val="5F35143D"/>
    <w:rsid w:val="5F35570B"/>
    <w:rsid w:val="5F3D08FB"/>
    <w:rsid w:val="5F41606D"/>
    <w:rsid w:val="5F497B7F"/>
    <w:rsid w:val="5F4D4008"/>
    <w:rsid w:val="5F63DC95"/>
    <w:rsid w:val="5F821170"/>
    <w:rsid w:val="5F871E3F"/>
    <w:rsid w:val="5F9BD6D0"/>
    <w:rsid w:val="5FAFA7F7"/>
    <w:rsid w:val="5FDA11B4"/>
    <w:rsid w:val="5FDC159B"/>
    <w:rsid w:val="5FEE8C71"/>
    <w:rsid w:val="5FEFC78E"/>
    <w:rsid w:val="5FF71886"/>
    <w:rsid w:val="600EAF97"/>
    <w:rsid w:val="601131C9"/>
    <w:rsid w:val="602D218D"/>
    <w:rsid w:val="60392221"/>
    <w:rsid w:val="603EAB70"/>
    <w:rsid w:val="6041664B"/>
    <w:rsid w:val="6042BE16"/>
    <w:rsid w:val="604492E6"/>
    <w:rsid w:val="6050E8AF"/>
    <w:rsid w:val="60608B00"/>
    <w:rsid w:val="60687752"/>
    <w:rsid w:val="60851936"/>
    <w:rsid w:val="608FE27C"/>
    <w:rsid w:val="6095325F"/>
    <w:rsid w:val="60B81E06"/>
    <w:rsid w:val="60C08559"/>
    <w:rsid w:val="60C951AF"/>
    <w:rsid w:val="60D3F186"/>
    <w:rsid w:val="60F1F913"/>
    <w:rsid w:val="60FA4496"/>
    <w:rsid w:val="60FD5AF3"/>
    <w:rsid w:val="6122EEA0"/>
    <w:rsid w:val="6133FB8F"/>
    <w:rsid w:val="61399EE5"/>
    <w:rsid w:val="615614A3"/>
    <w:rsid w:val="6159AB8B"/>
    <w:rsid w:val="616AF057"/>
    <w:rsid w:val="616ECB4A"/>
    <w:rsid w:val="616ED469"/>
    <w:rsid w:val="6178EFF8"/>
    <w:rsid w:val="617A6614"/>
    <w:rsid w:val="618443FC"/>
    <w:rsid w:val="6189273A"/>
    <w:rsid w:val="6191BDBC"/>
    <w:rsid w:val="61990FBD"/>
    <w:rsid w:val="61A0CA19"/>
    <w:rsid w:val="61A81038"/>
    <w:rsid w:val="61AB625D"/>
    <w:rsid w:val="61B20770"/>
    <w:rsid w:val="61C9F025"/>
    <w:rsid w:val="61D99BDF"/>
    <w:rsid w:val="61DB87FD"/>
    <w:rsid w:val="61E1AA25"/>
    <w:rsid w:val="61F05B43"/>
    <w:rsid w:val="61FF2042"/>
    <w:rsid w:val="620F0EEE"/>
    <w:rsid w:val="6213B54A"/>
    <w:rsid w:val="6219D94E"/>
    <w:rsid w:val="621E499A"/>
    <w:rsid w:val="6225EE92"/>
    <w:rsid w:val="62451C08"/>
    <w:rsid w:val="624AC854"/>
    <w:rsid w:val="624AE0DD"/>
    <w:rsid w:val="625F9729"/>
    <w:rsid w:val="62652210"/>
    <w:rsid w:val="6271C8A3"/>
    <w:rsid w:val="627308CE"/>
    <w:rsid w:val="627C6432"/>
    <w:rsid w:val="627F2A9F"/>
    <w:rsid w:val="62884A20"/>
    <w:rsid w:val="6292E126"/>
    <w:rsid w:val="62951CE1"/>
    <w:rsid w:val="6297B9D0"/>
    <w:rsid w:val="629BA748"/>
    <w:rsid w:val="62A6F1D1"/>
    <w:rsid w:val="62A993B8"/>
    <w:rsid w:val="62B8CC17"/>
    <w:rsid w:val="62C0E92E"/>
    <w:rsid w:val="62E8D1B9"/>
    <w:rsid w:val="62FC2A16"/>
    <w:rsid w:val="631257DC"/>
    <w:rsid w:val="6326DECA"/>
    <w:rsid w:val="632A3B42"/>
    <w:rsid w:val="634C2A50"/>
    <w:rsid w:val="6365D43E"/>
    <w:rsid w:val="63695DF9"/>
    <w:rsid w:val="6369D542"/>
    <w:rsid w:val="637CA8EE"/>
    <w:rsid w:val="6394FC3F"/>
    <w:rsid w:val="639E736A"/>
    <w:rsid w:val="63B105C4"/>
    <w:rsid w:val="63B582F1"/>
    <w:rsid w:val="63C02FDA"/>
    <w:rsid w:val="63C0927E"/>
    <w:rsid w:val="63CB7980"/>
    <w:rsid w:val="63CDE442"/>
    <w:rsid w:val="63E8D685"/>
    <w:rsid w:val="63EC9A11"/>
    <w:rsid w:val="63F755EF"/>
    <w:rsid w:val="63F7A23C"/>
    <w:rsid w:val="63F7D19C"/>
    <w:rsid w:val="6407226B"/>
    <w:rsid w:val="6408EE4B"/>
    <w:rsid w:val="6421E3AC"/>
    <w:rsid w:val="643DC700"/>
    <w:rsid w:val="64426759"/>
    <w:rsid w:val="646B9C51"/>
    <w:rsid w:val="646DF706"/>
    <w:rsid w:val="646E0B83"/>
    <w:rsid w:val="64718051"/>
    <w:rsid w:val="6478731E"/>
    <w:rsid w:val="648F5F01"/>
    <w:rsid w:val="649EE1B6"/>
    <w:rsid w:val="64BB5038"/>
    <w:rsid w:val="64C755AE"/>
    <w:rsid w:val="64D86ADB"/>
    <w:rsid w:val="64E4A2EC"/>
    <w:rsid w:val="64F123C4"/>
    <w:rsid w:val="64F70270"/>
    <w:rsid w:val="650B48F3"/>
    <w:rsid w:val="65193144"/>
    <w:rsid w:val="65314940"/>
    <w:rsid w:val="65557BB1"/>
    <w:rsid w:val="655DC3D5"/>
    <w:rsid w:val="655FEE5E"/>
    <w:rsid w:val="6568DAF2"/>
    <w:rsid w:val="6569B4A3"/>
    <w:rsid w:val="656C6367"/>
    <w:rsid w:val="6589FCA6"/>
    <w:rsid w:val="658C8C14"/>
    <w:rsid w:val="659CC2D2"/>
    <w:rsid w:val="65A77E63"/>
    <w:rsid w:val="65B21082"/>
    <w:rsid w:val="65B229F5"/>
    <w:rsid w:val="65BB7FA0"/>
    <w:rsid w:val="65BDAEE8"/>
    <w:rsid w:val="65EDF134"/>
    <w:rsid w:val="66076CB2"/>
    <w:rsid w:val="660AC4E7"/>
    <w:rsid w:val="660CE7C8"/>
    <w:rsid w:val="6624A9DB"/>
    <w:rsid w:val="662822FD"/>
    <w:rsid w:val="66340A93"/>
    <w:rsid w:val="6636B6AC"/>
    <w:rsid w:val="6642458C"/>
    <w:rsid w:val="665D3313"/>
    <w:rsid w:val="6664DA82"/>
    <w:rsid w:val="666B722D"/>
    <w:rsid w:val="6671D97D"/>
    <w:rsid w:val="6674C64E"/>
    <w:rsid w:val="6690A72E"/>
    <w:rsid w:val="66A194A8"/>
    <w:rsid w:val="66B836E9"/>
    <w:rsid w:val="66D60CF6"/>
    <w:rsid w:val="66F830F4"/>
    <w:rsid w:val="67020C6C"/>
    <w:rsid w:val="671762B7"/>
    <w:rsid w:val="6721BF08"/>
    <w:rsid w:val="67243AD3"/>
    <w:rsid w:val="67398120"/>
    <w:rsid w:val="6741B8AE"/>
    <w:rsid w:val="674763D6"/>
    <w:rsid w:val="67535F41"/>
    <w:rsid w:val="677CC4BE"/>
    <w:rsid w:val="6785E093"/>
    <w:rsid w:val="678D0E9E"/>
    <w:rsid w:val="6799CCA1"/>
    <w:rsid w:val="679A0816"/>
    <w:rsid w:val="67A53081"/>
    <w:rsid w:val="67A77C9D"/>
    <w:rsid w:val="67ABBBC6"/>
    <w:rsid w:val="67B7F134"/>
    <w:rsid w:val="67E0A65A"/>
    <w:rsid w:val="67E19360"/>
    <w:rsid w:val="67EF0F4D"/>
    <w:rsid w:val="67EF3325"/>
    <w:rsid w:val="67F1EF36"/>
    <w:rsid w:val="680BA7F7"/>
    <w:rsid w:val="681B2EAA"/>
    <w:rsid w:val="682411FA"/>
    <w:rsid w:val="6836F455"/>
    <w:rsid w:val="6846574E"/>
    <w:rsid w:val="6858DA0C"/>
    <w:rsid w:val="68600BAD"/>
    <w:rsid w:val="68683E4D"/>
    <w:rsid w:val="6869B432"/>
    <w:rsid w:val="686C4326"/>
    <w:rsid w:val="68769248"/>
    <w:rsid w:val="6887E485"/>
    <w:rsid w:val="6888A363"/>
    <w:rsid w:val="688A52B0"/>
    <w:rsid w:val="68C01450"/>
    <w:rsid w:val="68CF403B"/>
    <w:rsid w:val="68D14D2D"/>
    <w:rsid w:val="68DA8748"/>
    <w:rsid w:val="68DAFF1F"/>
    <w:rsid w:val="68E27977"/>
    <w:rsid w:val="68F72B65"/>
    <w:rsid w:val="68F786A0"/>
    <w:rsid w:val="6916757D"/>
    <w:rsid w:val="6926D820"/>
    <w:rsid w:val="693433D0"/>
    <w:rsid w:val="693A08DA"/>
    <w:rsid w:val="695D9512"/>
    <w:rsid w:val="6963F473"/>
    <w:rsid w:val="6969F570"/>
    <w:rsid w:val="6990AE32"/>
    <w:rsid w:val="69919C1B"/>
    <w:rsid w:val="6993A750"/>
    <w:rsid w:val="699A94CF"/>
    <w:rsid w:val="69A4AB4A"/>
    <w:rsid w:val="69B45ACB"/>
    <w:rsid w:val="69B93549"/>
    <w:rsid w:val="69E6AAD2"/>
    <w:rsid w:val="69FD8B75"/>
    <w:rsid w:val="6A013EAB"/>
    <w:rsid w:val="6A1378CB"/>
    <w:rsid w:val="6A174623"/>
    <w:rsid w:val="6A1D70A1"/>
    <w:rsid w:val="6A1F303F"/>
    <w:rsid w:val="6A3285AC"/>
    <w:rsid w:val="6A38961B"/>
    <w:rsid w:val="6A44C132"/>
    <w:rsid w:val="6A47881A"/>
    <w:rsid w:val="6A4CAD38"/>
    <w:rsid w:val="6A4F8C85"/>
    <w:rsid w:val="6A60B82A"/>
    <w:rsid w:val="6A628711"/>
    <w:rsid w:val="6A72F98D"/>
    <w:rsid w:val="6A731ADB"/>
    <w:rsid w:val="6A7D3933"/>
    <w:rsid w:val="6A84CFBB"/>
    <w:rsid w:val="6A8636F9"/>
    <w:rsid w:val="6A9501E2"/>
    <w:rsid w:val="6AA29869"/>
    <w:rsid w:val="6AABB5FB"/>
    <w:rsid w:val="6ADB2FB3"/>
    <w:rsid w:val="6AE97E13"/>
    <w:rsid w:val="6B160C71"/>
    <w:rsid w:val="6B22397B"/>
    <w:rsid w:val="6B2EBFC0"/>
    <w:rsid w:val="6B7285F3"/>
    <w:rsid w:val="6B8610EE"/>
    <w:rsid w:val="6B874FA7"/>
    <w:rsid w:val="6B89E2A5"/>
    <w:rsid w:val="6B996802"/>
    <w:rsid w:val="6B9D0F0C"/>
    <w:rsid w:val="6B9DE2BE"/>
    <w:rsid w:val="6BA5C6A9"/>
    <w:rsid w:val="6BAA6DB1"/>
    <w:rsid w:val="6BAD951D"/>
    <w:rsid w:val="6BC30BF3"/>
    <w:rsid w:val="6BC5467B"/>
    <w:rsid w:val="6BE96C33"/>
    <w:rsid w:val="6BF91A6F"/>
    <w:rsid w:val="6C127B74"/>
    <w:rsid w:val="6C133A57"/>
    <w:rsid w:val="6C1C3D08"/>
    <w:rsid w:val="6C292B30"/>
    <w:rsid w:val="6C3FDB2D"/>
    <w:rsid w:val="6C4772A1"/>
    <w:rsid w:val="6C5B9D95"/>
    <w:rsid w:val="6C5F7947"/>
    <w:rsid w:val="6C61F330"/>
    <w:rsid w:val="6C70805A"/>
    <w:rsid w:val="6C715B4B"/>
    <w:rsid w:val="6C71DB17"/>
    <w:rsid w:val="6C774E3A"/>
    <w:rsid w:val="6C7750A2"/>
    <w:rsid w:val="6C7B94B2"/>
    <w:rsid w:val="6C854BD3"/>
    <w:rsid w:val="6C8A6D84"/>
    <w:rsid w:val="6CA159F1"/>
    <w:rsid w:val="6CACAEAC"/>
    <w:rsid w:val="6CBAE3E4"/>
    <w:rsid w:val="6CC2EED4"/>
    <w:rsid w:val="6CCD6FB9"/>
    <w:rsid w:val="6CD6E344"/>
    <w:rsid w:val="6CD94EFB"/>
    <w:rsid w:val="6D049C6F"/>
    <w:rsid w:val="6D20C523"/>
    <w:rsid w:val="6D25071F"/>
    <w:rsid w:val="6D2F47E4"/>
    <w:rsid w:val="6D476539"/>
    <w:rsid w:val="6D4B198D"/>
    <w:rsid w:val="6D5A69B6"/>
    <w:rsid w:val="6D64C996"/>
    <w:rsid w:val="6D6DE2DF"/>
    <w:rsid w:val="6D794031"/>
    <w:rsid w:val="6D794844"/>
    <w:rsid w:val="6D828DCC"/>
    <w:rsid w:val="6D8CFD5E"/>
    <w:rsid w:val="6D8F35CD"/>
    <w:rsid w:val="6D93B9DA"/>
    <w:rsid w:val="6D99EBEF"/>
    <w:rsid w:val="6DA39C40"/>
    <w:rsid w:val="6DAE6886"/>
    <w:rsid w:val="6DAFED91"/>
    <w:rsid w:val="6DB43A9E"/>
    <w:rsid w:val="6DB7178A"/>
    <w:rsid w:val="6DBA087D"/>
    <w:rsid w:val="6DBAB996"/>
    <w:rsid w:val="6DC02EAE"/>
    <w:rsid w:val="6DCC7B26"/>
    <w:rsid w:val="6DD6123C"/>
    <w:rsid w:val="6DD84D92"/>
    <w:rsid w:val="6DE8F4DC"/>
    <w:rsid w:val="6DED5F3C"/>
    <w:rsid w:val="6DF1F5DC"/>
    <w:rsid w:val="6DF30BF9"/>
    <w:rsid w:val="6E16C480"/>
    <w:rsid w:val="6E20D6C5"/>
    <w:rsid w:val="6E28330C"/>
    <w:rsid w:val="6E318482"/>
    <w:rsid w:val="6E33C2FC"/>
    <w:rsid w:val="6E4B53A0"/>
    <w:rsid w:val="6E4D661B"/>
    <w:rsid w:val="6E4E1541"/>
    <w:rsid w:val="6E550A83"/>
    <w:rsid w:val="6E7C45EA"/>
    <w:rsid w:val="6E7DE56D"/>
    <w:rsid w:val="6E8B5CB3"/>
    <w:rsid w:val="6E91C367"/>
    <w:rsid w:val="6E92A71C"/>
    <w:rsid w:val="6E9A3622"/>
    <w:rsid w:val="6EA13948"/>
    <w:rsid w:val="6EC75036"/>
    <w:rsid w:val="6EDF619C"/>
    <w:rsid w:val="6EEADE84"/>
    <w:rsid w:val="6F0C5CD9"/>
    <w:rsid w:val="6F0FE5BC"/>
    <w:rsid w:val="6F21FB2F"/>
    <w:rsid w:val="6F24FEDB"/>
    <w:rsid w:val="6F250914"/>
    <w:rsid w:val="6F2790E8"/>
    <w:rsid w:val="6F302D8D"/>
    <w:rsid w:val="6F3A5AFA"/>
    <w:rsid w:val="6F459BF7"/>
    <w:rsid w:val="6F466AB0"/>
    <w:rsid w:val="6F5BF078"/>
    <w:rsid w:val="6F6B3AB7"/>
    <w:rsid w:val="6F6C8EA4"/>
    <w:rsid w:val="6F7F5E0E"/>
    <w:rsid w:val="6FB89AF5"/>
    <w:rsid w:val="6FCFFF75"/>
    <w:rsid w:val="6FD08BD4"/>
    <w:rsid w:val="6FF1E44F"/>
    <w:rsid w:val="6FF352B0"/>
    <w:rsid w:val="7002CCCC"/>
    <w:rsid w:val="7004B3A5"/>
    <w:rsid w:val="70264E03"/>
    <w:rsid w:val="70275593"/>
    <w:rsid w:val="704AC2B7"/>
    <w:rsid w:val="7050E5C8"/>
    <w:rsid w:val="705346D7"/>
    <w:rsid w:val="70598509"/>
    <w:rsid w:val="7063409B"/>
    <w:rsid w:val="706FB90D"/>
    <w:rsid w:val="7074FAE7"/>
    <w:rsid w:val="707B6149"/>
    <w:rsid w:val="70BB7311"/>
    <w:rsid w:val="70BD957B"/>
    <w:rsid w:val="70C12318"/>
    <w:rsid w:val="70CBC63D"/>
    <w:rsid w:val="70D40693"/>
    <w:rsid w:val="70E23B11"/>
    <w:rsid w:val="70E66DC2"/>
    <w:rsid w:val="70E9F11E"/>
    <w:rsid w:val="70FB18AE"/>
    <w:rsid w:val="70FD725B"/>
    <w:rsid w:val="710BACAC"/>
    <w:rsid w:val="7118DA4B"/>
    <w:rsid w:val="71194595"/>
    <w:rsid w:val="711B0E76"/>
    <w:rsid w:val="711F9F7F"/>
    <w:rsid w:val="71201390"/>
    <w:rsid w:val="7121E4A9"/>
    <w:rsid w:val="71272F5B"/>
    <w:rsid w:val="7137DB4F"/>
    <w:rsid w:val="713B78F4"/>
    <w:rsid w:val="7148EB80"/>
    <w:rsid w:val="715DFE52"/>
    <w:rsid w:val="716307C2"/>
    <w:rsid w:val="716F3FE7"/>
    <w:rsid w:val="71735146"/>
    <w:rsid w:val="7176F279"/>
    <w:rsid w:val="71818E67"/>
    <w:rsid w:val="718B8F02"/>
    <w:rsid w:val="71997020"/>
    <w:rsid w:val="719CC2E9"/>
    <w:rsid w:val="71A1F124"/>
    <w:rsid w:val="71A4C40E"/>
    <w:rsid w:val="71A4E92D"/>
    <w:rsid w:val="71A70FC9"/>
    <w:rsid w:val="71AF546F"/>
    <w:rsid w:val="71B3E6AC"/>
    <w:rsid w:val="71BA54D8"/>
    <w:rsid w:val="71BD7D98"/>
    <w:rsid w:val="71C28EF2"/>
    <w:rsid w:val="71D3386C"/>
    <w:rsid w:val="71DE60EB"/>
    <w:rsid w:val="71E0A6C5"/>
    <w:rsid w:val="720B896E"/>
    <w:rsid w:val="720F2686"/>
    <w:rsid w:val="7210D598"/>
    <w:rsid w:val="722B5F03"/>
    <w:rsid w:val="722F8C98"/>
    <w:rsid w:val="7246B7CD"/>
    <w:rsid w:val="7249D32C"/>
    <w:rsid w:val="7259AE7F"/>
    <w:rsid w:val="725DDF62"/>
    <w:rsid w:val="72A4B0F6"/>
    <w:rsid w:val="72A9330E"/>
    <w:rsid w:val="72BDB50A"/>
    <w:rsid w:val="72D00DF2"/>
    <w:rsid w:val="72D5A9DB"/>
    <w:rsid w:val="72E1BEEF"/>
    <w:rsid w:val="72E1F190"/>
    <w:rsid w:val="72EDDD40"/>
    <w:rsid w:val="72FDD210"/>
    <w:rsid w:val="72FF169F"/>
    <w:rsid w:val="7309A584"/>
    <w:rsid w:val="73134B71"/>
    <w:rsid w:val="7318D237"/>
    <w:rsid w:val="733C5467"/>
    <w:rsid w:val="733D79A8"/>
    <w:rsid w:val="734FB70D"/>
    <w:rsid w:val="73671849"/>
    <w:rsid w:val="736BAD4C"/>
    <w:rsid w:val="736BEF7F"/>
    <w:rsid w:val="736ECA43"/>
    <w:rsid w:val="73732C1A"/>
    <w:rsid w:val="738889CF"/>
    <w:rsid w:val="73937F0C"/>
    <w:rsid w:val="73B053D7"/>
    <w:rsid w:val="73D23BDC"/>
    <w:rsid w:val="73DAA7A8"/>
    <w:rsid w:val="73EC8558"/>
    <w:rsid w:val="73ED5799"/>
    <w:rsid w:val="73EE4625"/>
    <w:rsid w:val="73F50168"/>
    <w:rsid w:val="73F8C3DA"/>
    <w:rsid w:val="73F91D4D"/>
    <w:rsid w:val="73FC3EE2"/>
    <w:rsid w:val="73FD81B0"/>
    <w:rsid w:val="740CBE81"/>
    <w:rsid w:val="742018C9"/>
    <w:rsid w:val="74248FCB"/>
    <w:rsid w:val="7440CB29"/>
    <w:rsid w:val="7447577B"/>
    <w:rsid w:val="7477A20B"/>
    <w:rsid w:val="7486EB6B"/>
    <w:rsid w:val="7489ADA1"/>
    <w:rsid w:val="748D620F"/>
    <w:rsid w:val="749A80C5"/>
    <w:rsid w:val="749BC6E6"/>
    <w:rsid w:val="749D3F1F"/>
    <w:rsid w:val="74B07484"/>
    <w:rsid w:val="74CB3883"/>
    <w:rsid w:val="74D53CB6"/>
    <w:rsid w:val="74DA9886"/>
    <w:rsid w:val="74DCF6E8"/>
    <w:rsid w:val="74E8D59C"/>
    <w:rsid w:val="74EE9295"/>
    <w:rsid w:val="74EF4614"/>
    <w:rsid w:val="74FAC6B6"/>
    <w:rsid w:val="7506E24B"/>
    <w:rsid w:val="750B1F5A"/>
    <w:rsid w:val="7513A93B"/>
    <w:rsid w:val="751EF048"/>
    <w:rsid w:val="752384AD"/>
    <w:rsid w:val="754E0F8A"/>
    <w:rsid w:val="754FC4C7"/>
    <w:rsid w:val="75940A4A"/>
    <w:rsid w:val="7595342A"/>
    <w:rsid w:val="75980F43"/>
    <w:rsid w:val="75B83F54"/>
    <w:rsid w:val="75BF6B86"/>
    <w:rsid w:val="75C0602C"/>
    <w:rsid w:val="75E308AB"/>
    <w:rsid w:val="75EE54E7"/>
    <w:rsid w:val="76065B8D"/>
    <w:rsid w:val="761C4905"/>
    <w:rsid w:val="7633638C"/>
    <w:rsid w:val="76372238"/>
    <w:rsid w:val="763C6EE0"/>
    <w:rsid w:val="7646C14C"/>
    <w:rsid w:val="76489DCD"/>
    <w:rsid w:val="764AC6ED"/>
    <w:rsid w:val="76653455"/>
    <w:rsid w:val="76727204"/>
    <w:rsid w:val="768CE467"/>
    <w:rsid w:val="769C00BB"/>
    <w:rsid w:val="76A979AC"/>
    <w:rsid w:val="76B1DFDF"/>
    <w:rsid w:val="76CFA979"/>
    <w:rsid w:val="76F4670E"/>
    <w:rsid w:val="76F8E03B"/>
    <w:rsid w:val="77054A12"/>
    <w:rsid w:val="7716EA59"/>
    <w:rsid w:val="7735225B"/>
    <w:rsid w:val="7748737F"/>
    <w:rsid w:val="7763405C"/>
    <w:rsid w:val="7777A089"/>
    <w:rsid w:val="777CA594"/>
    <w:rsid w:val="777FAFC5"/>
    <w:rsid w:val="778A2548"/>
    <w:rsid w:val="77B5DAA9"/>
    <w:rsid w:val="77B9220B"/>
    <w:rsid w:val="77D2F146"/>
    <w:rsid w:val="77F38505"/>
    <w:rsid w:val="781396BF"/>
    <w:rsid w:val="781C2CFD"/>
    <w:rsid w:val="78281225"/>
    <w:rsid w:val="78290EBE"/>
    <w:rsid w:val="783143FB"/>
    <w:rsid w:val="7838D654"/>
    <w:rsid w:val="784FF380"/>
    <w:rsid w:val="7855D49C"/>
    <w:rsid w:val="7860C53F"/>
    <w:rsid w:val="78699C05"/>
    <w:rsid w:val="786B2154"/>
    <w:rsid w:val="7881C4AC"/>
    <w:rsid w:val="7887B24F"/>
    <w:rsid w:val="789A55C8"/>
    <w:rsid w:val="78A17292"/>
    <w:rsid w:val="78D2445E"/>
    <w:rsid w:val="78DE5F9B"/>
    <w:rsid w:val="78DFC74D"/>
    <w:rsid w:val="78F1961E"/>
    <w:rsid w:val="7900C9FD"/>
    <w:rsid w:val="7916EB23"/>
    <w:rsid w:val="792316BF"/>
    <w:rsid w:val="792DE32F"/>
    <w:rsid w:val="7932E978"/>
    <w:rsid w:val="794B8BDB"/>
    <w:rsid w:val="7953E9C7"/>
    <w:rsid w:val="79593127"/>
    <w:rsid w:val="795B1DC2"/>
    <w:rsid w:val="796866CA"/>
    <w:rsid w:val="796CA293"/>
    <w:rsid w:val="799EA9A6"/>
    <w:rsid w:val="79AD513F"/>
    <w:rsid w:val="79AF6720"/>
    <w:rsid w:val="79BA6BDF"/>
    <w:rsid w:val="79BBEFDA"/>
    <w:rsid w:val="79C8A0DB"/>
    <w:rsid w:val="79EC7FCC"/>
    <w:rsid w:val="79F1A653"/>
    <w:rsid w:val="7A01B5E9"/>
    <w:rsid w:val="7A0CB18B"/>
    <w:rsid w:val="7A143F9B"/>
    <w:rsid w:val="7A289AAB"/>
    <w:rsid w:val="7A29EED7"/>
    <w:rsid w:val="7A2F240F"/>
    <w:rsid w:val="7A32CB35"/>
    <w:rsid w:val="7A517B7F"/>
    <w:rsid w:val="7A539272"/>
    <w:rsid w:val="7A719C43"/>
    <w:rsid w:val="7A8291AF"/>
    <w:rsid w:val="7A8581BD"/>
    <w:rsid w:val="7A8DC0F2"/>
    <w:rsid w:val="7AABA6FB"/>
    <w:rsid w:val="7AABC051"/>
    <w:rsid w:val="7ABBDFA2"/>
    <w:rsid w:val="7AC16FB2"/>
    <w:rsid w:val="7ACF17EC"/>
    <w:rsid w:val="7ACF6050"/>
    <w:rsid w:val="7ADD717F"/>
    <w:rsid w:val="7AE8B3FC"/>
    <w:rsid w:val="7AF2D24F"/>
    <w:rsid w:val="7AF324D9"/>
    <w:rsid w:val="7AFC3740"/>
    <w:rsid w:val="7AFDDAD1"/>
    <w:rsid w:val="7AFE496F"/>
    <w:rsid w:val="7B2639D9"/>
    <w:rsid w:val="7B3C4BD3"/>
    <w:rsid w:val="7B480EC1"/>
    <w:rsid w:val="7B4B3781"/>
    <w:rsid w:val="7B5DF467"/>
    <w:rsid w:val="7B8E5A99"/>
    <w:rsid w:val="7B8F6333"/>
    <w:rsid w:val="7BA66052"/>
    <w:rsid w:val="7BB513E7"/>
    <w:rsid w:val="7BB588FD"/>
    <w:rsid w:val="7BBAE050"/>
    <w:rsid w:val="7BC54778"/>
    <w:rsid w:val="7BCEFA20"/>
    <w:rsid w:val="7BDAF62B"/>
    <w:rsid w:val="7BF4F588"/>
    <w:rsid w:val="7C282CE4"/>
    <w:rsid w:val="7C2CC9BF"/>
    <w:rsid w:val="7C2FA1B0"/>
    <w:rsid w:val="7C3BB26E"/>
    <w:rsid w:val="7C435DF6"/>
    <w:rsid w:val="7C5C6CDE"/>
    <w:rsid w:val="7C649750"/>
    <w:rsid w:val="7C6583F1"/>
    <w:rsid w:val="7C746600"/>
    <w:rsid w:val="7C75694D"/>
    <w:rsid w:val="7C79F5A6"/>
    <w:rsid w:val="7C837515"/>
    <w:rsid w:val="7C94DFF1"/>
    <w:rsid w:val="7C9A19D0"/>
    <w:rsid w:val="7C9EA838"/>
    <w:rsid w:val="7CC7F6BC"/>
    <w:rsid w:val="7CE07C1D"/>
    <w:rsid w:val="7CE268FA"/>
    <w:rsid w:val="7CF2D25A"/>
    <w:rsid w:val="7CF5AEC7"/>
    <w:rsid w:val="7CFF884E"/>
    <w:rsid w:val="7D18CAF3"/>
    <w:rsid w:val="7D20963F"/>
    <w:rsid w:val="7D335C37"/>
    <w:rsid w:val="7D3460C5"/>
    <w:rsid w:val="7D476B0D"/>
    <w:rsid w:val="7D47AE38"/>
    <w:rsid w:val="7D4DB970"/>
    <w:rsid w:val="7D5E7452"/>
    <w:rsid w:val="7D606F4E"/>
    <w:rsid w:val="7D680532"/>
    <w:rsid w:val="7D730D40"/>
    <w:rsid w:val="7D7C7B2B"/>
    <w:rsid w:val="7D87F4FA"/>
    <w:rsid w:val="7D889FD9"/>
    <w:rsid w:val="7D8C072C"/>
    <w:rsid w:val="7D94772B"/>
    <w:rsid w:val="7D9F2E41"/>
    <w:rsid w:val="7DA5B581"/>
    <w:rsid w:val="7DA6CFA4"/>
    <w:rsid w:val="7DA95F95"/>
    <w:rsid w:val="7DA9F882"/>
    <w:rsid w:val="7DB044BE"/>
    <w:rsid w:val="7DCB7211"/>
    <w:rsid w:val="7DDA5662"/>
    <w:rsid w:val="7DE0F770"/>
    <w:rsid w:val="7DED9C2A"/>
    <w:rsid w:val="7DF4459B"/>
    <w:rsid w:val="7E06E97B"/>
    <w:rsid w:val="7E103661"/>
    <w:rsid w:val="7E1139AE"/>
    <w:rsid w:val="7E123243"/>
    <w:rsid w:val="7E1F0973"/>
    <w:rsid w:val="7E247957"/>
    <w:rsid w:val="7E248668"/>
    <w:rsid w:val="7E35EA31"/>
    <w:rsid w:val="7E37B949"/>
    <w:rsid w:val="7E3BD7ED"/>
    <w:rsid w:val="7E4F1526"/>
    <w:rsid w:val="7E4F816E"/>
    <w:rsid w:val="7E80772B"/>
    <w:rsid w:val="7EA2C4E5"/>
    <w:rsid w:val="7EA7F929"/>
    <w:rsid w:val="7EAFE9D2"/>
    <w:rsid w:val="7EBA8B81"/>
    <w:rsid w:val="7EC97B96"/>
    <w:rsid w:val="7ED5270C"/>
    <w:rsid w:val="7EE37E99"/>
    <w:rsid w:val="7F0CC0AD"/>
    <w:rsid w:val="7F34BFFA"/>
    <w:rsid w:val="7F3EF189"/>
    <w:rsid w:val="7F447D7F"/>
    <w:rsid w:val="7F56A51D"/>
    <w:rsid w:val="7F5F7FF2"/>
    <w:rsid w:val="7F64DF5A"/>
    <w:rsid w:val="7F6A76E5"/>
    <w:rsid w:val="7F6D0CB8"/>
    <w:rsid w:val="7F7C4392"/>
    <w:rsid w:val="7F8797DB"/>
    <w:rsid w:val="7F896C8B"/>
    <w:rsid w:val="7F9262FA"/>
    <w:rsid w:val="7F9D24B3"/>
    <w:rsid w:val="7FB0BB74"/>
    <w:rsid w:val="7FC70B94"/>
    <w:rsid w:val="7FD0F3A9"/>
    <w:rsid w:val="7FD52B18"/>
    <w:rsid w:val="7FEA9662"/>
    <w:rsid w:val="7FF9D6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E137D5"/>
  <w15:docId w15:val="{FB4DBEAF-688F-4C69-9BE8-89C72CAF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257"/>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link w:val="Heading2Char"/>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2"/>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0"/>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9"/>
      </w:numPr>
    </w:pPr>
  </w:style>
  <w:style w:type="paragraph" w:customStyle="1" w:styleId="Bulletpoints">
    <w:name w:val="Bullet points"/>
    <w:basedOn w:val="Normal"/>
    <w:link w:val="BulletpointsChar"/>
    <w:qFormat/>
    <w:rsid w:val="005570B5"/>
    <w:pPr>
      <w:numPr>
        <w:numId w:val="11"/>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1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ommentTextChar">
    <w:name w:val="Comment Text Char"/>
    <w:basedOn w:val="DefaultParagraphFont"/>
    <w:link w:val="CommentText"/>
    <w:semiHidden/>
    <w:rsid w:val="009E6B4C"/>
    <w:rPr>
      <w:color w:val="000000"/>
    </w:rPr>
  </w:style>
  <w:style w:type="character" w:customStyle="1" w:styleId="Heading2Char">
    <w:name w:val="Heading 2 Char"/>
    <w:aliases w:val="Sub-heading Char"/>
    <w:basedOn w:val="DefaultParagraphFont"/>
    <w:link w:val="Heading2"/>
    <w:rsid w:val="00195E6C"/>
    <w:rPr>
      <w:color w:val="000000"/>
      <w:sz w:val="24"/>
      <w:szCs w:val="24"/>
      <w:u w:val="single"/>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651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327603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869077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707378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2319751">
      <w:bodyDiv w:val="1"/>
      <w:marLeft w:val="0"/>
      <w:marRight w:val="0"/>
      <w:marTop w:val="0"/>
      <w:marBottom w:val="0"/>
      <w:divBdr>
        <w:top w:val="none" w:sz="0" w:space="0" w:color="auto"/>
        <w:left w:val="none" w:sz="0" w:space="0" w:color="auto"/>
        <w:bottom w:val="none" w:sz="0" w:space="0" w:color="auto"/>
        <w:right w:val="none" w:sz="0" w:space="0" w:color="auto"/>
      </w:divBdr>
    </w:div>
    <w:div w:id="112507908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535495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104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mgAi.aspx?ID=343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ieDecisionDetails.aspx?Id=23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mgAi.aspx?ID=343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brunskill@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7237402-F857-4CE2-9659-0371F81CE3C4}">
    <t:Anchor>
      <t:Comment id="801919231"/>
    </t:Anchor>
    <t:History>
      <t:Event id="{B1448D53-EDC9-4E59-8248-B90DBFB0ED41}" time="2023-08-18T07:53:53.466Z">
        <t:Attribution userId="S::cploszynski@oxford.gov.uk::b45c4bef-8030-46f3-ab7a-1119a1df4b5a" userProvider="AD" userName="PLOSZYNSKI Carolyn"/>
        <t:Anchor>
          <t:Comment id="801919231"/>
        </t:Anchor>
        <t:Create/>
      </t:Event>
      <t:Event id="{2C8E8284-A22B-4206-B222-E2042981371B}" time="2023-08-18T07:53:53.466Z">
        <t:Attribution userId="S::cploszynski@oxford.gov.uk::b45c4bef-8030-46f3-ab7a-1119a1df4b5a" userProvider="AD" userName="PLOSZYNSKI Carolyn"/>
        <t:Anchor>
          <t:Comment id="801919231"/>
        </t:Anchor>
        <t:Assign userId="S::TMaxwell@oxford.gov.uk::7b9391fc-a400-487f-b9ec-424a336683b1" userProvider="AD" userName="MAXWELL Ted"/>
      </t:Event>
      <t:Event id="{7A0AA4F6-8B85-4E18-8BDA-01652C11ACDE}" time="2023-08-18T07:53:53.466Z">
        <t:Attribution userId="S::cploszynski@oxford.gov.uk::b45c4bef-8030-46f3-ab7a-1119a1df4b5a" userProvider="AD" userName="PLOSZYNSKI Carolyn"/>
        <t:Anchor>
          <t:Comment id="801919231"/>
        </t:Anchor>
        <t:SetTitle title="@MAXWELL Ted isn't Thornhill OBC but this table says its stagecoach numb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CC370AFC7DE148BB77AAD9321368AB" ma:contentTypeVersion="5" ma:contentTypeDescription="Create a new document." ma:contentTypeScope="" ma:versionID="3dc2ca27138ffffcf0837451af4bf197">
  <xsd:schema xmlns:xsd="http://www.w3.org/2001/XMLSchema" xmlns:xs="http://www.w3.org/2001/XMLSchema" xmlns:p="http://schemas.microsoft.com/office/2006/metadata/properties" xmlns:ns2="7607d55f-f995-4d2f-9841-d792d86f2699" xmlns:ns3="1fe79654-e136-49df-a532-43d455ade0df" targetNamespace="http://schemas.microsoft.com/office/2006/metadata/properties" ma:root="true" ma:fieldsID="4c30bef6df1bf06315bf8d298e58d883" ns2:_="" ns3:_="">
    <xsd:import namespace="7607d55f-f995-4d2f-9841-d792d86f2699"/>
    <xsd:import namespace="1fe79654-e136-49df-a532-43d455ade0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7d55f-f995-4d2f-9841-d792d86f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79654-e136-49df-a532-43d455ade0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C4917-9BF0-4C87-955D-A9B7FF46C28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ACB1097-9B79-42B6-880C-70626614E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7d55f-f995-4d2f-9841-d792d86f2699"/>
    <ds:schemaRef ds:uri="1fe79654-e136-49df-a532-43d455ade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B0856-D55F-464F-911C-FF77E047235A}">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F867CC2E-EC74-4FED-BADF-DBB7A79ED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cp:lastModifiedBy>LUND Emma</cp:lastModifiedBy>
  <cp:revision>6</cp:revision>
  <cp:lastPrinted>2015-07-03T21:50:00Z</cp:lastPrinted>
  <dcterms:created xsi:type="dcterms:W3CDTF">2023-08-27T07:43:00Z</dcterms:created>
  <dcterms:modified xsi:type="dcterms:W3CDTF">2023-09-05T07:22:00Z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0x010100F8CC370AFC7DE148BB77AAD9321368AB</vt:lpwstr>
  </property>
</Properties>
</file>